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B48" w:rsidRPr="00DB4B48" w:rsidRDefault="00DB4B48" w:rsidP="00DB4B48">
      <w:pPr>
        <w:spacing w:after="0"/>
        <w:jc w:val="center"/>
        <w:rPr>
          <w:rFonts w:eastAsia="Calibri" w:cs="Times New Roman"/>
        </w:rPr>
      </w:pPr>
      <w:r w:rsidRPr="00DB4B48">
        <w:rPr>
          <w:rFonts w:eastAsia="Calibri" w:cs="Times New Roman"/>
          <w:noProof/>
          <w:lang w:eastAsia="lt-LT"/>
        </w:rPr>
        <w:drawing>
          <wp:inline distT="0" distB="0" distL="0" distR="0" wp14:anchorId="578FF9D8" wp14:editId="4970A79D">
            <wp:extent cx="1905000" cy="609600"/>
            <wp:effectExtent l="19050" t="0" r="0" b="0"/>
            <wp:docPr id="1" name="Picture 1" descr="C:\Users\DELL\Desktop\vgtu_logo_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DELL\Desktop\vgtu_logo_lt.png"/>
                    <pic:cNvPicPr>
                      <a:picLocks noChangeAspect="1" noChangeArrowheads="1"/>
                    </pic:cNvPicPr>
                  </pic:nvPicPr>
                  <pic:blipFill>
                    <a:blip r:embed="rId8"/>
                    <a:srcRect/>
                    <a:stretch>
                      <a:fillRect/>
                    </a:stretch>
                  </pic:blipFill>
                  <pic:spPr bwMode="auto">
                    <a:xfrm>
                      <a:off x="0" y="0"/>
                      <a:ext cx="1905000" cy="609600"/>
                    </a:xfrm>
                    <a:prstGeom prst="rect">
                      <a:avLst/>
                    </a:prstGeom>
                    <a:noFill/>
                    <a:ln w="9525">
                      <a:noFill/>
                      <a:miter lim="800000"/>
                      <a:headEnd/>
                      <a:tailEnd/>
                    </a:ln>
                  </pic:spPr>
                </pic:pic>
              </a:graphicData>
            </a:graphic>
          </wp:inline>
        </w:drawing>
      </w:r>
    </w:p>
    <w:p w:rsidR="00DB4B48" w:rsidRPr="00DB4B48" w:rsidRDefault="00DB4B48" w:rsidP="00DB4B48">
      <w:pPr>
        <w:spacing w:before="1560" w:after="0"/>
        <w:jc w:val="center"/>
        <w:rPr>
          <w:rFonts w:eastAsia="Calibri" w:cs="Times New Roman"/>
          <w:sz w:val="36"/>
          <w:szCs w:val="36"/>
          <w:lang w:val="ru-RU"/>
        </w:rPr>
      </w:pPr>
      <w:r w:rsidRPr="00DB4B48">
        <w:rPr>
          <w:rFonts w:eastAsia="Calibri" w:cs="Times New Roman"/>
          <w:sz w:val="36"/>
          <w:szCs w:val="36"/>
          <w:lang w:val="ru-RU"/>
        </w:rPr>
        <w:t>VILNIAUS GEDIMINO TECHNIKOS UNIVERSITETAS</w:t>
      </w:r>
    </w:p>
    <w:p w:rsidR="00DB4B48" w:rsidRPr="00DB4B48" w:rsidRDefault="00DB4B48" w:rsidP="00DB4B48">
      <w:pPr>
        <w:spacing w:after="0"/>
        <w:jc w:val="center"/>
        <w:rPr>
          <w:rFonts w:eastAsia="Calibri" w:cs="Times New Roman"/>
          <w:bCs/>
          <w:sz w:val="32"/>
          <w:szCs w:val="32"/>
        </w:rPr>
      </w:pPr>
      <w:r w:rsidRPr="00DB4B48">
        <w:rPr>
          <w:rFonts w:eastAsia="Calibri" w:cs="Times New Roman"/>
          <w:bCs/>
          <w:sz w:val="32"/>
          <w:szCs w:val="32"/>
        </w:rPr>
        <w:t>VERSLO VADYBOS FAKULTETAS</w:t>
      </w:r>
    </w:p>
    <w:p w:rsidR="00DB4B48" w:rsidRPr="00DB4B48" w:rsidRDefault="00DB4B48" w:rsidP="00DB4B48">
      <w:pPr>
        <w:spacing w:after="0"/>
        <w:jc w:val="center"/>
        <w:rPr>
          <w:rFonts w:eastAsia="Calibri" w:cs="Times New Roman"/>
          <w:bCs/>
          <w:sz w:val="32"/>
          <w:szCs w:val="32"/>
        </w:rPr>
      </w:pPr>
      <w:r>
        <w:rPr>
          <w:rFonts w:eastAsia="Calibri" w:cs="Times New Roman"/>
          <w:bCs/>
          <w:sz w:val="32"/>
          <w:szCs w:val="32"/>
        </w:rPr>
        <w:t>SOCIALINĖS</w:t>
      </w:r>
      <w:r w:rsidRPr="00DB4B48">
        <w:rPr>
          <w:rFonts w:eastAsia="Calibri" w:cs="Times New Roman"/>
          <w:bCs/>
          <w:sz w:val="32"/>
          <w:szCs w:val="32"/>
        </w:rPr>
        <w:t xml:space="preserve"> EKONOMIKOS IR VADYBOS KATEDRA</w:t>
      </w:r>
    </w:p>
    <w:p w:rsidR="00DB4B48" w:rsidRPr="00DB4B48" w:rsidRDefault="00DB4B48" w:rsidP="00DB4B48">
      <w:pPr>
        <w:spacing w:after="0"/>
        <w:jc w:val="center"/>
        <w:rPr>
          <w:rFonts w:cs="Times New Roman"/>
          <w:b/>
          <w:color w:val="222222"/>
          <w:sz w:val="32"/>
          <w:szCs w:val="32"/>
          <w:shd w:val="clear" w:color="auto" w:fill="FFFFFF"/>
        </w:rPr>
      </w:pPr>
      <w:bookmarkStart w:id="0" w:name="_Toc445301528"/>
      <w:r w:rsidRPr="00DB4B48">
        <w:rPr>
          <w:rFonts w:cs="Times New Roman"/>
          <w:b/>
          <w:color w:val="222222"/>
          <w:sz w:val="32"/>
          <w:szCs w:val="32"/>
          <w:shd w:val="clear" w:color="auto" w:fill="FFFFFF"/>
        </w:rPr>
        <w:t>LIETUVOS IR GRAIKIJOS EKONOMINIŲ RODIKLIŲ LYGINAMOJI ANALIZĖ</w:t>
      </w:r>
    </w:p>
    <w:p w:rsidR="00DB4B48" w:rsidRPr="00DB4B48" w:rsidRDefault="00DB4B48" w:rsidP="00DB4B48">
      <w:pPr>
        <w:spacing w:after="0"/>
        <w:jc w:val="center"/>
        <w:rPr>
          <w:rFonts w:eastAsia="Calibri" w:cs="Times New Roman"/>
          <w:sz w:val="32"/>
          <w:szCs w:val="32"/>
        </w:rPr>
      </w:pPr>
      <w:r w:rsidRPr="00DB4B48">
        <w:rPr>
          <w:rFonts w:eastAsia="Calibri" w:cs="Times New Roman"/>
          <w:sz w:val="32"/>
          <w:szCs w:val="32"/>
        </w:rPr>
        <w:t>NAMŲ DARBAS</w:t>
      </w:r>
      <w:bookmarkEnd w:id="0"/>
    </w:p>
    <w:p w:rsidR="00DB4B48" w:rsidRPr="00DB4B48" w:rsidRDefault="00DB4B48" w:rsidP="00E458CD">
      <w:pPr>
        <w:spacing w:before="1920" w:after="0"/>
        <w:jc w:val="right"/>
        <w:rPr>
          <w:rFonts w:eastAsia="Calibri" w:cs="Times New Roman"/>
          <w:szCs w:val="24"/>
        </w:rPr>
      </w:pPr>
      <w:r w:rsidRPr="00DB4B48">
        <w:rPr>
          <w:rFonts w:eastAsia="Calibri" w:cs="Times New Roman"/>
          <w:szCs w:val="24"/>
          <w:lang w:val="ru-RU"/>
        </w:rPr>
        <w:t>Darbą</w:t>
      </w:r>
      <w:r w:rsidRPr="00DB4B48">
        <w:rPr>
          <w:rFonts w:eastAsia="Calibri" w:cs="Times New Roman"/>
          <w:szCs w:val="24"/>
        </w:rPr>
        <w:t xml:space="preserve"> </w:t>
      </w:r>
      <w:r w:rsidRPr="00DB4B48">
        <w:rPr>
          <w:rFonts w:eastAsia="Calibri" w:cs="Times New Roman"/>
          <w:szCs w:val="24"/>
          <w:lang w:val="ru-RU"/>
        </w:rPr>
        <w:t xml:space="preserve">atliko: </w:t>
      </w:r>
    </w:p>
    <w:p w:rsidR="00DB4B48" w:rsidRPr="00DB4B48" w:rsidRDefault="00DB4B48" w:rsidP="00DB4B48">
      <w:pPr>
        <w:spacing w:after="0"/>
        <w:jc w:val="right"/>
        <w:rPr>
          <w:rFonts w:eastAsia="Calibri" w:cs="Times New Roman"/>
        </w:rPr>
      </w:pPr>
      <w:bookmarkStart w:id="1" w:name="_Toc402898758"/>
      <w:bookmarkStart w:id="2" w:name="_Toc445301529"/>
      <w:r w:rsidRPr="00DB4B48">
        <w:rPr>
          <w:rFonts w:eastAsia="Calibri" w:cs="Times New Roman"/>
          <w:lang w:val="ru-RU"/>
        </w:rPr>
        <w:t>Darbą</w:t>
      </w:r>
      <w:r w:rsidRPr="00DB4B48">
        <w:rPr>
          <w:rFonts w:eastAsia="Calibri" w:cs="Times New Roman"/>
        </w:rPr>
        <w:t xml:space="preserve"> </w:t>
      </w:r>
      <w:r w:rsidRPr="00DB4B48">
        <w:rPr>
          <w:rFonts w:eastAsia="Calibri" w:cs="Times New Roman"/>
          <w:lang w:val="ru-RU"/>
        </w:rPr>
        <w:t xml:space="preserve">tikrino: </w:t>
      </w:r>
      <w:r>
        <w:rPr>
          <w:rFonts w:eastAsia="Calibri" w:cs="Times New Roman"/>
        </w:rPr>
        <w:t>d</w:t>
      </w:r>
      <w:r w:rsidRPr="00DB4B48">
        <w:rPr>
          <w:rFonts w:eastAsia="Calibri" w:cs="Times New Roman"/>
        </w:rPr>
        <w:t>oc</w:t>
      </w:r>
      <w:r w:rsidRPr="00DB4B48">
        <w:rPr>
          <w:rFonts w:eastAsia="Calibri" w:cs="Times New Roman"/>
          <w:lang w:val="en-US"/>
        </w:rPr>
        <w:t xml:space="preserve">. </w:t>
      </w:r>
      <w:bookmarkEnd w:id="1"/>
      <w:bookmarkEnd w:id="2"/>
      <w:r>
        <w:rPr>
          <w:rFonts w:eastAsia="Calibri" w:cs="Times New Roman"/>
        </w:rPr>
        <w:t>dr. Daiva Andriušaitienė</w:t>
      </w:r>
    </w:p>
    <w:p w:rsidR="00E458CD" w:rsidRDefault="00DB4B48" w:rsidP="008557CA">
      <w:pPr>
        <w:spacing w:before="2640" w:after="0"/>
        <w:jc w:val="center"/>
        <w:rPr>
          <w:rFonts w:eastAsia="Calibri" w:cs="Times New Roman"/>
          <w:szCs w:val="24"/>
          <w:lang w:val="en-US"/>
        </w:rPr>
      </w:pPr>
      <w:r w:rsidRPr="00DB4B48">
        <w:rPr>
          <w:rFonts w:eastAsia="Calibri" w:cs="Times New Roman"/>
          <w:szCs w:val="24"/>
          <w:lang w:val="ru-RU"/>
        </w:rPr>
        <w:t xml:space="preserve">Vilnius, </w:t>
      </w:r>
      <w:r w:rsidRPr="00DB4B48">
        <w:rPr>
          <w:rFonts w:eastAsia="Calibri" w:cs="Times New Roman"/>
          <w:szCs w:val="24"/>
          <w:lang w:val="en-US"/>
        </w:rPr>
        <w:t>2016</w:t>
      </w:r>
    </w:p>
    <w:p w:rsidR="00E458CD" w:rsidRDefault="00E458CD">
      <w:pPr>
        <w:spacing w:after="160" w:line="259" w:lineRule="auto"/>
        <w:ind w:firstLine="0"/>
        <w:jc w:val="left"/>
        <w:rPr>
          <w:rFonts w:eastAsia="Calibri" w:cs="Times New Roman"/>
          <w:szCs w:val="24"/>
          <w:lang w:val="en-US"/>
        </w:rPr>
      </w:pPr>
      <w:r>
        <w:rPr>
          <w:rFonts w:eastAsia="Calibri" w:cs="Times New Roman"/>
          <w:szCs w:val="24"/>
          <w:lang w:val="en-US"/>
        </w:rPr>
        <w:br w:type="page"/>
      </w:r>
    </w:p>
    <w:p w:rsidR="00DB4B48" w:rsidRDefault="00DB4B48" w:rsidP="00E458CD">
      <w:pPr>
        <w:spacing w:before="2640" w:after="0"/>
        <w:jc w:val="right"/>
        <w:rPr>
          <w:rFonts w:eastAsia="Calibri" w:cs="Times New Roman"/>
          <w:szCs w:val="24"/>
          <w:lang w:val="en-US"/>
        </w:rPr>
      </w:pPr>
    </w:p>
    <w:sdt>
      <w:sdtPr>
        <w:rPr>
          <w:rFonts w:ascii="Times New Roman" w:eastAsiaTheme="minorHAnsi" w:hAnsi="Times New Roman" w:cstheme="minorBidi"/>
          <w:color w:val="auto"/>
          <w:sz w:val="24"/>
          <w:szCs w:val="22"/>
          <w:lang w:val="lt-LT"/>
        </w:rPr>
        <w:id w:val="-2092993294"/>
        <w:docPartObj>
          <w:docPartGallery w:val="Table of Contents"/>
          <w:docPartUnique/>
        </w:docPartObj>
      </w:sdtPr>
      <w:sdtEndPr>
        <w:rPr>
          <w:b/>
          <w:bCs/>
          <w:noProof/>
        </w:rPr>
      </w:sdtEndPr>
      <w:sdtContent>
        <w:p w:rsidR="001D27A2" w:rsidRPr="001D27A2" w:rsidRDefault="001D27A2">
          <w:pPr>
            <w:pStyle w:val="TOCHeading"/>
            <w:rPr>
              <w:rFonts w:ascii="Times New Roman" w:hAnsi="Times New Roman" w:cs="Times New Roman"/>
              <w:b/>
              <w:color w:val="auto"/>
            </w:rPr>
          </w:pPr>
          <w:proofErr w:type="spellStart"/>
          <w:r w:rsidRPr="001D27A2">
            <w:rPr>
              <w:rFonts w:ascii="Times New Roman" w:hAnsi="Times New Roman" w:cs="Times New Roman"/>
              <w:b/>
              <w:color w:val="auto"/>
            </w:rPr>
            <w:t>Turinys</w:t>
          </w:r>
          <w:proofErr w:type="spellEnd"/>
        </w:p>
        <w:p w:rsidR="008557CA" w:rsidRDefault="001D27A2">
          <w:pPr>
            <w:pStyle w:val="TOC1"/>
            <w:tabs>
              <w:tab w:val="right" w:leader="dot" w:pos="9962"/>
            </w:tabs>
            <w:rPr>
              <w:rFonts w:asciiTheme="minorHAnsi" w:eastAsiaTheme="minorEastAsia" w:hAnsiTheme="minorHAnsi"/>
              <w:noProof/>
              <w:sz w:val="22"/>
              <w:lang w:val="en-US"/>
            </w:rPr>
          </w:pPr>
          <w:r>
            <w:fldChar w:fldCharType="begin"/>
          </w:r>
          <w:r>
            <w:instrText xml:space="preserve"> TOC \o "1-3" \h \z \u </w:instrText>
          </w:r>
          <w:r>
            <w:fldChar w:fldCharType="separate"/>
          </w:r>
          <w:hyperlink w:anchor="_Toc451709412" w:history="1">
            <w:r w:rsidR="008557CA" w:rsidRPr="00716CFF">
              <w:rPr>
                <w:rStyle w:val="Hyperlink"/>
                <w:rFonts w:eastAsia="Calibri"/>
                <w:noProof/>
              </w:rPr>
              <w:t>Įvadas</w:t>
            </w:r>
            <w:r w:rsidR="008557CA">
              <w:rPr>
                <w:noProof/>
                <w:webHidden/>
              </w:rPr>
              <w:tab/>
            </w:r>
            <w:r w:rsidR="008557CA">
              <w:rPr>
                <w:noProof/>
                <w:webHidden/>
              </w:rPr>
              <w:fldChar w:fldCharType="begin"/>
            </w:r>
            <w:r w:rsidR="008557CA">
              <w:rPr>
                <w:noProof/>
                <w:webHidden/>
              </w:rPr>
              <w:instrText xml:space="preserve"> PAGEREF _Toc451709412 \h </w:instrText>
            </w:r>
            <w:r w:rsidR="008557CA">
              <w:rPr>
                <w:noProof/>
                <w:webHidden/>
              </w:rPr>
            </w:r>
            <w:r w:rsidR="008557CA">
              <w:rPr>
                <w:noProof/>
                <w:webHidden/>
              </w:rPr>
              <w:fldChar w:fldCharType="separate"/>
            </w:r>
            <w:r w:rsidR="008557CA">
              <w:rPr>
                <w:noProof/>
                <w:webHidden/>
              </w:rPr>
              <w:t>3</w:t>
            </w:r>
            <w:r w:rsidR="008557CA">
              <w:rPr>
                <w:noProof/>
                <w:webHidden/>
              </w:rPr>
              <w:fldChar w:fldCharType="end"/>
            </w:r>
          </w:hyperlink>
        </w:p>
        <w:p w:rsidR="008557CA" w:rsidRDefault="005D03F1">
          <w:pPr>
            <w:pStyle w:val="TOC1"/>
            <w:tabs>
              <w:tab w:val="right" w:leader="dot" w:pos="9962"/>
            </w:tabs>
            <w:rPr>
              <w:rFonts w:asciiTheme="minorHAnsi" w:eastAsiaTheme="minorEastAsia" w:hAnsiTheme="minorHAnsi"/>
              <w:noProof/>
              <w:sz w:val="22"/>
              <w:lang w:val="en-US"/>
            </w:rPr>
          </w:pPr>
          <w:hyperlink w:anchor="_Toc451709413" w:history="1">
            <w:r w:rsidR="008557CA" w:rsidRPr="00716CFF">
              <w:rPr>
                <w:rStyle w:val="Hyperlink"/>
                <w:noProof/>
              </w:rPr>
              <w:t>Bendrosios ekonominės padėties apžvalga</w:t>
            </w:r>
            <w:r w:rsidR="008557CA">
              <w:rPr>
                <w:noProof/>
                <w:webHidden/>
              </w:rPr>
              <w:tab/>
            </w:r>
            <w:r w:rsidR="008557CA">
              <w:rPr>
                <w:noProof/>
                <w:webHidden/>
              </w:rPr>
              <w:fldChar w:fldCharType="begin"/>
            </w:r>
            <w:r w:rsidR="008557CA">
              <w:rPr>
                <w:noProof/>
                <w:webHidden/>
              </w:rPr>
              <w:instrText xml:space="preserve"> PAGEREF _Toc451709413 \h </w:instrText>
            </w:r>
            <w:r w:rsidR="008557CA">
              <w:rPr>
                <w:noProof/>
                <w:webHidden/>
              </w:rPr>
            </w:r>
            <w:r w:rsidR="008557CA">
              <w:rPr>
                <w:noProof/>
                <w:webHidden/>
              </w:rPr>
              <w:fldChar w:fldCharType="separate"/>
            </w:r>
            <w:r w:rsidR="008557CA">
              <w:rPr>
                <w:noProof/>
                <w:webHidden/>
              </w:rPr>
              <w:t>4</w:t>
            </w:r>
            <w:r w:rsidR="008557CA">
              <w:rPr>
                <w:noProof/>
                <w:webHidden/>
              </w:rPr>
              <w:fldChar w:fldCharType="end"/>
            </w:r>
          </w:hyperlink>
        </w:p>
        <w:p w:rsidR="008557CA" w:rsidRDefault="005D03F1">
          <w:pPr>
            <w:pStyle w:val="TOC2"/>
            <w:tabs>
              <w:tab w:val="right" w:leader="dot" w:pos="9962"/>
            </w:tabs>
            <w:rPr>
              <w:rFonts w:asciiTheme="minorHAnsi" w:eastAsiaTheme="minorEastAsia" w:hAnsiTheme="minorHAnsi"/>
              <w:noProof/>
              <w:sz w:val="22"/>
              <w:lang w:val="en-US"/>
            </w:rPr>
          </w:pPr>
          <w:hyperlink w:anchor="_Toc451709414" w:history="1">
            <w:r w:rsidR="008557CA" w:rsidRPr="00716CFF">
              <w:rPr>
                <w:rStyle w:val="Hyperlink"/>
                <w:noProof/>
              </w:rPr>
              <w:t>Ekonominė padėtis pasaulyje</w:t>
            </w:r>
            <w:r w:rsidR="008557CA">
              <w:rPr>
                <w:noProof/>
                <w:webHidden/>
              </w:rPr>
              <w:tab/>
            </w:r>
            <w:r w:rsidR="008557CA">
              <w:rPr>
                <w:noProof/>
                <w:webHidden/>
              </w:rPr>
              <w:fldChar w:fldCharType="begin"/>
            </w:r>
            <w:r w:rsidR="008557CA">
              <w:rPr>
                <w:noProof/>
                <w:webHidden/>
              </w:rPr>
              <w:instrText xml:space="preserve"> PAGEREF _Toc451709414 \h </w:instrText>
            </w:r>
            <w:r w:rsidR="008557CA">
              <w:rPr>
                <w:noProof/>
                <w:webHidden/>
              </w:rPr>
            </w:r>
            <w:r w:rsidR="008557CA">
              <w:rPr>
                <w:noProof/>
                <w:webHidden/>
              </w:rPr>
              <w:fldChar w:fldCharType="separate"/>
            </w:r>
            <w:r w:rsidR="008557CA">
              <w:rPr>
                <w:noProof/>
                <w:webHidden/>
              </w:rPr>
              <w:t>4</w:t>
            </w:r>
            <w:r w:rsidR="008557CA">
              <w:rPr>
                <w:noProof/>
                <w:webHidden/>
              </w:rPr>
              <w:fldChar w:fldCharType="end"/>
            </w:r>
          </w:hyperlink>
        </w:p>
        <w:bookmarkStart w:id="3" w:name="_GoBack"/>
        <w:bookmarkEnd w:id="3"/>
        <w:p w:rsidR="008557CA" w:rsidRDefault="005D03F1">
          <w:pPr>
            <w:pStyle w:val="TOC2"/>
            <w:tabs>
              <w:tab w:val="right" w:leader="dot" w:pos="9962"/>
            </w:tabs>
            <w:rPr>
              <w:rFonts w:asciiTheme="minorHAnsi" w:eastAsiaTheme="minorEastAsia" w:hAnsiTheme="minorHAnsi"/>
              <w:noProof/>
              <w:sz w:val="22"/>
              <w:lang w:val="en-US"/>
            </w:rPr>
          </w:pPr>
          <w:r>
            <w:fldChar w:fldCharType="begin"/>
          </w:r>
          <w:r>
            <w:instrText xml:space="preserve"> HYPERLINK \l "_Toc451709415" </w:instrText>
          </w:r>
          <w:r>
            <w:fldChar w:fldCharType="separate"/>
          </w:r>
          <w:r w:rsidR="008557CA" w:rsidRPr="00716CFF">
            <w:rPr>
              <w:rStyle w:val="Hyperlink"/>
              <w:noProof/>
            </w:rPr>
            <w:t>Ekonominė padėtis Lietuvoje</w:t>
          </w:r>
          <w:r w:rsidR="008557CA">
            <w:rPr>
              <w:noProof/>
              <w:webHidden/>
            </w:rPr>
            <w:tab/>
          </w:r>
          <w:r w:rsidR="008557CA">
            <w:rPr>
              <w:noProof/>
              <w:webHidden/>
            </w:rPr>
            <w:fldChar w:fldCharType="begin"/>
          </w:r>
          <w:r w:rsidR="008557CA">
            <w:rPr>
              <w:noProof/>
              <w:webHidden/>
            </w:rPr>
            <w:instrText xml:space="preserve"> PAGEREF _Toc451709415 \h </w:instrText>
          </w:r>
          <w:r w:rsidR="008557CA">
            <w:rPr>
              <w:noProof/>
              <w:webHidden/>
            </w:rPr>
          </w:r>
          <w:r w:rsidR="008557CA">
            <w:rPr>
              <w:noProof/>
              <w:webHidden/>
            </w:rPr>
            <w:fldChar w:fldCharType="separate"/>
          </w:r>
          <w:r w:rsidR="008557CA">
            <w:rPr>
              <w:noProof/>
              <w:webHidden/>
            </w:rPr>
            <w:t>4</w:t>
          </w:r>
          <w:r w:rsidR="008557CA">
            <w:rPr>
              <w:noProof/>
              <w:webHidden/>
            </w:rPr>
            <w:fldChar w:fldCharType="end"/>
          </w:r>
          <w:r>
            <w:rPr>
              <w:noProof/>
            </w:rPr>
            <w:fldChar w:fldCharType="end"/>
          </w:r>
        </w:p>
        <w:p w:rsidR="008557CA" w:rsidRDefault="005D03F1">
          <w:pPr>
            <w:pStyle w:val="TOC2"/>
            <w:tabs>
              <w:tab w:val="right" w:leader="dot" w:pos="9962"/>
            </w:tabs>
            <w:rPr>
              <w:rFonts w:asciiTheme="minorHAnsi" w:eastAsiaTheme="minorEastAsia" w:hAnsiTheme="minorHAnsi"/>
              <w:noProof/>
              <w:sz w:val="22"/>
              <w:lang w:val="en-US"/>
            </w:rPr>
          </w:pPr>
          <w:hyperlink w:anchor="_Toc451709416" w:history="1">
            <w:r w:rsidR="008557CA" w:rsidRPr="00716CFF">
              <w:rPr>
                <w:rStyle w:val="Hyperlink"/>
                <w:noProof/>
              </w:rPr>
              <w:t>Ekonominė padėtis Graikijoje</w:t>
            </w:r>
            <w:r w:rsidR="008557CA">
              <w:rPr>
                <w:noProof/>
                <w:webHidden/>
              </w:rPr>
              <w:tab/>
            </w:r>
            <w:r w:rsidR="008557CA">
              <w:rPr>
                <w:noProof/>
                <w:webHidden/>
              </w:rPr>
              <w:fldChar w:fldCharType="begin"/>
            </w:r>
            <w:r w:rsidR="008557CA">
              <w:rPr>
                <w:noProof/>
                <w:webHidden/>
              </w:rPr>
              <w:instrText xml:space="preserve"> PAGEREF _Toc451709416 \h </w:instrText>
            </w:r>
            <w:r w:rsidR="008557CA">
              <w:rPr>
                <w:noProof/>
                <w:webHidden/>
              </w:rPr>
            </w:r>
            <w:r w:rsidR="008557CA">
              <w:rPr>
                <w:noProof/>
                <w:webHidden/>
              </w:rPr>
              <w:fldChar w:fldCharType="separate"/>
            </w:r>
            <w:r w:rsidR="008557CA">
              <w:rPr>
                <w:noProof/>
                <w:webHidden/>
              </w:rPr>
              <w:t>5</w:t>
            </w:r>
            <w:r w:rsidR="008557CA">
              <w:rPr>
                <w:noProof/>
                <w:webHidden/>
              </w:rPr>
              <w:fldChar w:fldCharType="end"/>
            </w:r>
          </w:hyperlink>
        </w:p>
        <w:p w:rsidR="008557CA" w:rsidRDefault="005D03F1">
          <w:pPr>
            <w:pStyle w:val="TOC1"/>
            <w:tabs>
              <w:tab w:val="right" w:leader="dot" w:pos="9962"/>
            </w:tabs>
            <w:rPr>
              <w:rFonts w:asciiTheme="minorHAnsi" w:eastAsiaTheme="minorEastAsia" w:hAnsiTheme="minorHAnsi"/>
              <w:noProof/>
              <w:sz w:val="22"/>
              <w:lang w:val="en-US"/>
            </w:rPr>
          </w:pPr>
          <w:hyperlink w:anchor="_Toc451709417" w:history="1">
            <w:r w:rsidR="008557CA" w:rsidRPr="00716CFF">
              <w:rPr>
                <w:rStyle w:val="Hyperlink"/>
                <w:noProof/>
              </w:rPr>
              <w:t>Rodiklių analizė</w:t>
            </w:r>
            <w:r w:rsidR="008557CA">
              <w:rPr>
                <w:noProof/>
                <w:webHidden/>
              </w:rPr>
              <w:tab/>
            </w:r>
            <w:r w:rsidR="008557CA">
              <w:rPr>
                <w:noProof/>
                <w:webHidden/>
              </w:rPr>
              <w:fldChar w:fldCharType="begin"/>
            </w:r>
            <w:r w:rsidR="008557CA">
              <w:rPr>
                <w:noProof/>
                <w:webHidden/>
              </w:rPr>
              <w:instrText xml:space="preserve"> PAGEREF _Toc451709417 \h </w:instrText>
            </w:r>
            <w:r w:rsidR="008557CA">
              <w:rPr>
                <w:noProof/>
                <w:webHidden/>
              </w:rPr>
            </w:r>
            <w:r w:rsidR="008557CA">
              <w:rPr>
                <w:noProof/>
                <w:webHidden/>
              </w:rPr>
              <w:fldChar w:fldCharType="separate"/>
            </w:r>
            <w:r w:rsidR="008557CA">
              <w:rPr>
                <w:noProof/>
                <w:webHidden/>
              </w:rPr>
              <w:t>6</w:t>
            </w:r>
            <w:r w:rsidR="008557CA">
              <w:rPr>
                <w:noProof/>
                <w:webHidden/>
              </w:rPr>
              <w:fldChar w:fldCharType="end"/>
            </w:r>
          </w:hyperlink>
        </w:p>
        <w:p w:rsidR="008557CA" w:rsidRDefault="005D03F1">
          <w:pPr>
            <w:pStyle w:val="TOC2"/>
            <w:tabs>
              <w:tab w:val="right" w:leader="dot" w:pos="9962"/>
            </w:tabs>
            <w:rPr>
              <w:rFonts w:asciiTheme="minorHAnsi" w:eastAsiaTheme="minorEastAsia" w:hAnsiTheme="minorHAnsi"/>
              <w:noProof/>
              <w:sz w:val="22"/>
              <w:lang w:val="en-US"/>
            </w:rPr>
          </w:pPr>
          <w:hyperlink w:anchor="_Toc451709418" w:history="1">
            <w:r w:rsidR="008557CA" w:rsidRPr="00716CFF">
              <w:rPr>
                <w:rStyle w:val="Hyperlink"/>
                <w:noProof/>
              </w:rPr>
              <w:t>Bendrasis vidaus produktas</w:t>
            </w:r>
            <w:r w:rsidR="008557CA">
              <w:rPr>
                <w:noProof/>
                <w:webHidden/>
              </w:rPr>
              <w:tab/>
            </w:r>
            <w:r w:rsidR="008557CA">
              <w:rPr>
                <w:noProof/>
                <w:webHidden/>
              </w:rPr>
              <w:fldChar w:fldCharType="begin"/>
            </w:r>
            <w:r w:rsidR="008557CA">
              <w:rPr>
                <w:noProof/>
                <w:webHidden/>
              </w:rPr>
              <w:instrText xml:space="preserve"> PAGEREF _Toc451709418 \h </w:instrText>
            </w:r>
            <w:r w:rsidR="008557CA">
              <w:rPr>
                <w:noProof/>
                <w:webHidden/>
              </w:rPr>
            </w:r>
            <w:r w:rsidR="008557CA">
              <w:rPr>
                <w:noProof/>
                <w:webHidden/>
              </w:rPr>
              <w:fldChar w:fldCharType="separate"/>
            </w:r>
            <w:r w:rsidR="008557CA">
              <w:rPr>
                <w:noProof/>
                <w:webHidden/>
              </w:rPr>
              <w:t>6</w:t>
            </w:r>
            <w:r w:rsidR="008557CA">
              <w:rPr>
                <w:noProof/>
                <w:webHidden/>
              </w:rPr>
              <w:fldChar w:fldCharType="end"/>
            </w:r>
          </w:hyperlink>
        </w:p>
        <w:p w:rsidR="008557CA" w:rsidRDefault="005D03F1">
          <w:pPr>
            <w:pStyle w:val="TOC2"/>
            <w:tabs>
              <w:tab w:val="right" w:leader="dot" w:pos="9962"/>
            </w:tabs>
            <w:rPr>
              <w:rFonts w:asciiTheme="minorHAnsi" w:eastAsiaTheme="minorEastAsia" w:hAnsiTheme="minorHAnsi"/>
              <w:noProof/>
              <w:sz w:val="22"/>
              <w:lang w:val="en-US"/>
            </w:rPr>
          </w:pPr>
          <w:hyperlink w:anchor="_Toc451709419" w:history="1">
            <w:r w:rsidR="008557CA" w:rsidRPr="00716CFF">
              <w:rPr>
                <w:rStyle w:val="Hyperlink"/>
                <w:noProof/>
              </w:rPr>
              <w:t>Investicijos</w:t>
            </w:r>
            <w:r w:rsidR="008557CA">
              <w:rPr>
                <w:noProof/>
                <w:webHidden/>
              </w:rPr>
              <w:tab/>
            </w:r>
            <w:r w:rsidR="008557CA">
              <w:rPr>
                <w:noProof/>
                <w:webHidden/>
              </w:rPr>
              <w:fldChar w:fldCharType="begin"/>
            </w:r>
            <w:r w:rsidR="008557CA">
              <w:rPr>
                <w:noProof/>
                <w:webHidden/>
              </w:rPr>
              <w:instrText xml:space="preserve"> PAGEREF _Toc451709419 \h </w:instrText>
            </w:r>
            <w:r w:rsidR="008557CA">
              <w:rPr>
                <w:noProof/>
                <w:webHidden/>
              </w:rPr>
            </w:r>
            <w:r w:rsidR="008557CA">
              <w:rPr>
                <w:noProof/>
                <w:webHidden/>
              </w:rPr>
              <w:fldChar w:fldCharType="separate"/>
            </w:r>
            <w:r w:rsidR="008557CA">
              <w:rPr>
                <w:noProof/>
                <w:webHidden/>
              </w:rPr>
              <w:t>7</w:t>
            </w:r>
            <w:r w:rsidR="008557CA">
              <w:rPr>
                <w:noProof/>
                <w:webHidden/>
              </w:rPr>
              <w:fldChar w:fldCharType="end"/>
            </w:r>
          </w:hyperlink>
        </w:p>
        <w:p w:rsidR="008557CA" w:rsidRDefault="005D03F1">
          <w:pPr>
            <w:pStyle w:val="TOC2"/>
            <w:tabs>
              <w:tab w:val="right" w:leader="dot" w:pos="9962"/>
            </w:tabs>
            <w:rPr>
              <w:rFonts w:asciiTheme="minorHAnsi" w:eastAsiaTheme="minorEastAsia" w:hAnsiTheme="minorHAnsi"/>
              <w:noProof/>
              <w:sz w:val="22"/>
              <w:lang w:val="en-US"/>
            </w:rPr>
          </w:pPr>
          <w:hyperlink w:anchor="_Toc451709420" w:history="1">
            <w:r w:rsidR="008557CA" w:rsidRPr="00716CFF">
              <w:rPr>
                <w:rStyle w:val="Hyperlink"/>
                <w:noProof/>
              </w:rPr>
              <w:t>Valstybės skola</w:t>
            </w:r>
            <w:r w:rsidR="008557CA">
              <w:rPr>
                <w:noProof/>
                <w:webHidden/>
              </w:rPr>
              <w:tab/>
            </w:r>
            <w:r w:rsidR="008557CA">
              <w:rPr>
                <w:noProof/>
                <w:webHidden/>
              </w:rPr>
              <w:fldChar w:fldCharType="begin"/>
            </w:r>
            <w:r w:rsidR="008557CA">
              <w:rPr>
                <w:noProof/>
                <w:webHidden/>
              </w:rPr>
              <w:instrText xml:space="preserve"> PAGEREF _Toc451709420 \h </w:instrText>
            </w:r>
            <w:r w:rsidR="008557CA">
              <w:rPr>
                <w:noProof/>
                <w:webHidden/>
              </w:rPr>
            </w:r>
            <w:r w:rsidR="008557CA">
              <w:rPr>
                <w:noProof/>
                <w:webHidden/>
              </w:rPr>
              <w:fldChar w:fldCharType="separate"/>
            </w:r>
            <w:r w:rsidR="008557CA">
              <w:rPr>
                <w:noProof/>
                <w:webHidden/>
              </w:rPr>
              <w:t>9</w:t>
            </w:r>
            <w:r w:rsidR="008557CA">
              <w:rPr>
                <w:noProof/>
                <w:webHidden/>
              </w:rPr>
              <w:fldChar w:fldCharType="end"/>
            </w:r>
          </w:hyperlink>
        </w:p>
        <w:p w:rsidR="008557CA" w:rsidRDefault="005D03F1">
          <w:pPr>
            <w:pStyle w:val="TOC2"/>
            <w:tabs>
              <w:tab w:val="right" w:leader="dot" w:pos="9962"/>
            </w:tabs>
            <w:rPr>
              <w:rFonts w:asciiTheme="minorHAnsi" w:eastAsiaTheme="minorEastAsia" w:hAnsiTheme="minorHAnsi"/>
              <w:noProof/>
              <w:sz w:val="22"/>
              <w:lang w:val="en-US"/>
            </w:rPr>
          </w:pPr>
          <w:hyperlink w:anchor="_Toc451709421" w:history="1">
            <w:r w:rsidR="008557CA" w:rsidRPr="00716CFF">
              <w:rPr>
                <w:rStyle w:val="Hyperlink"/>
                <w:noProof/>
              </w:rPr>
              <w:t>Nedarbo lygis</w:t>
            </w:r>
            <w:r w:rsidR="008557CA">
              <w:rPr>
                <w:noProof/>
                <w:webHidden/>
              </w:rPr>
              <w:tab/>
            </w:r>
            <w:r w:rsidR="008557CA">
              <w:rPr>
                <w:noProof/>
                <w:webHidden/>
              </w:rPr>
              <w:fldChar w:fldCharType="begin"/>
            </w:r>
            <w:r w:rsidR="008557CA">
              <w:rPr>
                <w:noProof/>
                <w:webHidden/>
              </w:rPr>
              <w:instrText xml:space="preserve"> PAGEREF _Toc451709421 \h </w:instrText>
            </w:r>
            <w:r w:rsidR="008557CA">
              <w:rPr>
                <w:noProof/>
                <w:webHidden/>
              </w:rPr>
            </w:r>
            <w:r w:rsidR="008557CA">
              <w:rPr>
                <w:noProof/>
                <w:webHidden/>
              </w:rPr>
              <w:fldChar w:fldCharType="separate"/>
            </w:r>
            <w:r w:rsidR="008557CA">
              <w:rPr>
                <w:noProof/>
                <w:webHidden/>
              </w:rPr>
              <w:t>9</w:t>
            </w:r>
            <w:r w:rsidR="008557CA">
              <w:rPr>
                <w:noProof/>
                <w:webHidden/>
              </w:rPr>
              <w:fldChar w:fldCharType="end"/>
            </w:r>
          </w:hyperlink>
        </w:p>
        <w:p w:rsidR="008557CA" w:rsidRDefault="005D03F1">
          <w:pPr>
            <w:pStyle w:val="TOC2"/>
            <w:tabs>
              <w:tab w:val="right" w:leader="dot" w:pos="9962"/>
            </w:tabs>
            <w:rPr>
              <w:rFonts w:asciiTheme="minorHAnsi" w:eastAsiaTheme="minorEastAsia" w:hAnsiTheme="minorHAnsi"/>
              <w:noProof/>
              <w:sz w:val="22"/>
              <w:lang w:val="en-US"/>
            </w:rPr>
          </w:pPr>
          <w:hyperlink w:anchor="_Toc451709422" w:history="1">
            <w:r w:rsidR="008557CA" w:rsidRPr="00716CFF">
              <w:rPr>
                <w:rStyle w:val="Hyperlink"/>
                <w:noProof/>
              </w:rPr>
              <w:t>Užimtumas</w:t>
            </w:r>
            <w:r w:rsidR="008557CA">
              <w:rPr>
                <w:noProof/>
                <w:webHidden/>
              </w:rPr>
              <w:tab/>
            </w:r>
            <w:r w:rsidR="008557CA">
              <w:rPr>
                <w:noProof/>
                <w:webHidden/>
              </w:rPr>
              <w:fldChar w:fldCharType="begin"/>
            </w:r>
            <w:r w:rsidR="008557CA">
              <w:rPr>
                <w:noProof/>
                <w:webHidden/>
              </w:rPr>
              <w:instrText xml:space="preserve"> PAGEREF _Toc451709422 \h </w:instrText>
            </w:r>
            <w:r w:rsidR="008557CA">
              <w:rPr>
                <w:noProof/>
                <w:webHidden/>
              </w:rPr>
            </w:r>
            <w:r w:rsidR="008557CA">
              <w:rPr>
                <w:noProof/>
                <w:webHidden/>
              </w:rPr>
              <w:fldChar w:fldCharType="separate"/>
            </w:r>
            <w:r w:rsidR="008557CA">
              <w:rPr>
                <w:noProof/>
                <w:webHidden/>
              </w:rPr>
              <w:t>12</w:t>
            </w:r>
            <w:r w:rsidR="008557CA">
              <w:rPr>
                <w:noProof/>
                <w:webHidden/>
              </w:rPr>
              <w:fldChar w:fldCharType="end"/>
            </w:r>
          </w:hyperlink>
        </w:p>
        <w:p w:rsidR="008557CA" w:rsidRDefault="005D03F1">
          <w:pPr>
            <w:pStyle w:val="TOC2"/>
            <w:tabs>
              <w:tab w:val="right" w:leader="dot" w:pos="9962"/>
            </w:tabs>
            <w:rPr>
              <w:rFonts w:asciiTheme="minorHAnsi" w:eastAsiaTheme="minorEastAsia" w:hAnsiTheme="minorHAnsi"/>
              <w:noProof/>
              <w:sz w:val="22"/>
              <w:lang w:val="en-US"/>
            </w:rPr>
          </w:pPr>
          <w:hyperlink w:anchor="_Toc451709423" w:history="1">
            <w:r w:rsidR="008557CA" w:rsidRPr="00716CFF">
              <w:rPr>
                <w:rStyle w:val="Hyperlink"/>
                <w:noProof/>
              </w:rPr>
              <w:t>Darbo užmokestis</w:t>
            </w:r>
            <w:r w:rsidR="008557CA">
              <w:rPr>
                <w:noProof/>
                <w:webHidden/>
              </w:rPr>
              <w:tab/>
            </w:r>
            <w:r w:rsidR="008557CA">
              <w:rPr>
                <w:noProof/>
                <w:webHidden/>
              </w:rPr>
              <w:fldChar w:fldCharType="begin"/>
            </w:r>
            <w:r w:rsidR="008557CA">
              <w:rPr>
                <w:noProof/>
                <w:webHidden/>
              </w:rPr>
              <w:instrText xml:space="preserve"> PAGEREF _Toc451709423 \h </w:instrText>
            </w:r>
            <w:r w:rsidR="008557CA">
              <w:rPr>
                <w:noProof/>
                <w:webHidden/>
              </w:rPr>
            </w:r>
            <w:r w:rsidR="008557CA">
              <w:rPr>
                <w:noProof/>
                <w:webHidden/>
              </w:rPr>
              <w:fldChar w:fldCharType="separate"/>
            </w:r>
            <w:r w:rsidR="008557CA">
              <w:rPr>
                <w:noProof/>
                <w:webHidden/>
              </w:rPr>
              <w:t>12</w:t>
            </w:r>
            <w:r w:rsidR="008557CA">
              <w:rPr>
                <w:noProof/>
                <w:webHidden/>
              </w:rPr>
              <w:fldChar w:fldCharType="end"/>
            </w:r>
          </w:hyperlink>
        </w:p>
        <w:p w:rsidR="008557CA" w:rsidRDefault="005D03F1">
          <w:pPr>
            <w:pStyle w:val="TOC2"/>
            <w:tabs>
              <w:tab w:val="right" w:leader="dot" w:pos="9962"/>
            </w:tabs>
            <w:rPr>
              <w:rFonts w:asciiTheme="minorHAnsi" w:eastAsiaTheme="minorEastAsia" w:hAnsiTheme="minorHAnsi"/>
              <w:noProof/>
              <w:sz w:val="22"/>
              <w:lang w:val="en-US"/>
            </w:rPr>
          </w:pPr>
          <w:hyperlink w:anchor="_Toc451709424" w:history="1">
            <w:r w:rsidR="008557CA" w:rsidRPr="00716CFF">
              <w:rPr>
                <w:rStyle w:val="Hyperlink"/>
                <w:noProof/>
              </w:rPr>
              <w:t>Išlaidos socialinei paramai</w:t>
            </w:r>
            <w:r w:rsidR="008557CA">
              <w:rPr>
                <w:noProof/>
                <w:webHidden/>
              </w:rPr>
              <w:tab/>
            </w:r>
            <w:r w:rsidR="008557CA">
              <w:rPr>
                <w:noProof/>
                <w:webHidden/>
              </w:rPr>
              <w:fldChar w:fldCharType="begin"/>
            </w:r>
            <w:r w:rsidR="008557CA">
              <w:rPr>
                <w:noProof/>
                <w:webHidden/>
              </w:rPr>
              <w:instrText xml:space="preserve"> PAGEREF _Toc451709424 \h </w:instrText>
            </w:r>
            <w:r w:rsidR="008557CA">
              <w:rPr>
                <w:noProof/>
                <w:webHidden/>
              </w:rPr>
            </w:r>
            <w:r w:rsidR="008557CA">
              <w:rPr>
                <w:noProof/>
                <w:webHidden/>
              </w:rPr>
              <w:fldChar w:fldCharType="separate"/>
            </w:r>
            <w:r w:rsidR="008557CA">
              <w:rPr>
                <w:noProof/>
                <w:webHidden/>
              </w:rPr>
              <w:t>13</w:t>
            </w:r>
            <w:r w:rsidR="008557CA">
              <w:rPr>
                <w:noProof/>
                <w:webHidden/>
              </w:rPr>
              <w:fldChar w:fldCharType="end"/>
            </w:r>
          </w:hyperlink>
        </w:p>
        <w:p w:rsidR="008557CA" w:rsidRDefault="005D03F1">
          <w:pPr>
            <w:pStyle w:val="TOC1"/>
            <w:tabs>
              <w:tab w:val="right" w:leader="dot" w:pos="9962"/>
            </w:tabs>
            <w:rPr>
              <w:rFonts w:asciiTheme="minorHAnsi" w:eastAsiaTheme="minorEastAsia" w:hAnsiTheme="minorHAnsi"/>
              <w:noProof/>
              <w:sz w:val="22"/>
              <w:lang w:val="en-US"/>
            </w:rPr>
          </w:pPr>
          <w:hyperlink w:anchor="_Toc451709425" w:history="1">
            <w:r w:rsidR="008557CA" w:rsidRPr="00716CFF">
              <w:rPr>
                <w:rStyle w:val="Hyperlink"/>
                <w:noProof/>
              </w:rPr>
              <w:t>Išvados</w:t>
            </w:r>
            <w:r w:rsidR="008557CA">
              <w:rPr>
                <w:noProof/>
                <w:webHidden/>
              </w:rPr>
              <w:tab/>
            </w:r>
            <w:r w:rsidR="008557CA">
              <w:rPr>
                <w:noProof/>
                <w:webHidden/>
              </w:rPr>
              <w:fldChar w:fldCharType="begin"/>
            </w:r>
            <w:r w:rsidR="008557CA">
              <w:rPr>
                <w:noProof/>
                <w:webHidden/>
              </w:rPr>
              <w:instrText xml:space="preserve"> PAGEREF _Toc451709425 \h </w:instrText>
            </w:r>
            <w:r w:rsidR="008557CA">
              <w:rPr>
                <w:noProof/>
                <w:webHidden/>
              </w:rPr>
            </w:r>
            <w:r w:rsidR="008557CA">
              <w:rPr>
                <w:noProof/>
                <w:webHidden/>
              </w:rPr>
              <w:fldChar w:fldCharType="separate"/>
            </w:r>
            <w:r w:rsidR="008557CA">
              <w:rPr>
                <w:noProof/>
                <w:webHidden/>
              </w:rPr>
              <w:t>15</w:t>
            </w:r>
            <w:r w:rsidR="008557CA">
              <w:rPr>
                <w:noProof/>
                <w:webHidden/>
              </w:rPr>
              <w:fldChar w:fldCharType="end"/>
            </w:r>
          </w:hyperlink>
        </w:p>
        <w:p w:rsidR="008557CA" w:rsidRDefault="005D03F1">
          <w:pPr>
            <w:pStyle w:val="TOC1"/>
            <w:tabs>
              <w:tab w:val="right" w:leader="dot" w:pos="9962"/>
            </w:tabs>
            <w:rPr>
              <w:rFonts w:asciiTheme="minorHAnsi" w:eastAsiaTheme="minorEastAsia" w:hAnsiTheme="minorHAnsi"/>
              <w:noProof/>
              <w:sz w:val="22"/>
              <w:lang w:val="en-US"/>
            </w:rPr>
          </w:pPr>
          <w:hyperlink w:anchor="_Toc451709426" w:history="1">
            <w:r w:rsidR="008557CA" w:rsidRPr="00716CFF">
              <w:rPr>
                <w:rStyle w:val="Hyperlink"/>
                <w:noProof/>
              </w:rPr>
              <w:t>Literatūros sąrašas</w:t>
            </w:r>
            <w:r w:rsidR="008557CA">
              <w:rPr>
                <w:noProof/>
                <w:webHidden/>
              </w:rPr>
              <w:tab/>
            </w:r>
            <w:r w:rsidR="008557CA">
              <w:rPr>
                <w:noProof/>
                <w:webHidden/>
              </w:rPr>
              <w:fldChar w:fldCharType="begin"/>
            </w:r>
            <w:r w:rsidR="008557CA">
              <w:rPr>
                <w:noProof/>
                <w:webHidden/>
              </w:rPr>
              <w:instrText xml:space="preserve"> PAGEREF _Toc451709426 \h </w:instrText>
            </w:r>
            <w:r w:rsidR="008557CA">
              <w:rPr>
                <w:noProof/>
                <w:webHidden/>
              </w:rPr>
            </w:r>
            <w:r w:rsidR="008557CA">
              <w:rPr>
                <w:noProof/>
                <w:webHidden/>
              </w:rPr>
              <w:fldChar w:fldCharType="separate"/>
            </w:r>
            <w:r w:rsidR="008557CA">
              <w:rPr>
                <w:noProof/>
                <w:webHidden/>
              </w:rPr>
              <w:t>16</w:t>
            </w:r>
            <w:r w:rsidR="008557CA">
              <w:rPr>
                <w:noProof/>
                <w:webHidden/>
              </w:rPr>
              <w:fldChar w:fldCharType="end"/>
            </w:r>
          </w:hyperlink>
        </w:p>
        <w:p w:rsidR="001D27A2" w:rsidRDefault="001D27A2">
          <w:r>
            <w:rPr>
              <w:b/>
              <w:bCs/>
              <w:noProof/>
            </w:rPr>
            <w:fldChar w:fldCharType="end"/>
          </w:r>
        </w:p>
      </w:sdtContent>
    </w:sdt>
    <w:p w:rsidR="00DB4B48" w:rsidRDefault="00DB4B48" w:rsidP="00DB4B48">
      <w:pPr>
        <w:spacing w:before="2640" w:after="0"/>
        <w:jc w:val="center"/>
        <w:rPr>
          <w:rFonts w:eastAsia="Calibri" w:cs="Times New Roman"/>
          <w:szCs w:val="24"/>
          <w:lang w:val="en-US"/>
        </w:rPr>
      </w:pPr>
    </w:p>
    <w:p w:rsidR="00DB4B48" w:rsidRDefault="00DB4B48">
      <w:pPr>
        <w:rPr>
          <w:rFonts w:eastAsia="Calibri" w:cs="Times New Roman"/>
          <w:szCs w:val="24"/>
          <w:lang w:val="en-US"/>
        </w:rPr>
      </w:pPr>
      <w:r>
        <w:rPr>
          <w:rFonts w:eastAsia="Calibri" w:cs="Times New Roman"/>
          <w:szCs w:val="24"/>
          <w:lang w:val="en-US"/>
        </w:rPr>
        <w:br w:type="page"/>
      </w:r>
    </w:p>
    <w:p w:rsidR="001D27A2" w:rsidRDefault="00DB4B48" w:rsidP="002743AE">
      <w:pPr>
        <w:pStyle w:val="Heading1"/>
        <w:rPr>
          <w:rFonts w:eastAsia="Calibri"/>
        </w:rPr>
      </w:pPr>
      <w:bookmarkStart w:id="4" w:name="_Toc451709412"/>
      <w:r w:rsidRPr="00DB4B48">
        <w:rPr>
          <w:rFonts w:eastAsia="Calibri"/>
        </w:rPr>
        <w:lastRenderedPageBreak/>
        <w:t>Įvadas</w:t>
      </w:r>
      <w:bookmarkEnd w:id="4"/>
    </w:p>
    <w:p w:rsidR="001D27A2" w:rsidRDefault="001D27A2" w:rsidP="001D27A2">
      <w:pPr>
        <w:spacing w:after="100" w:afterAutospacing="1"/>
        <w:rPr>
          <w:rFonts w:eastAsia="Calibri" w:cs="Times New Roman"/>
        </w:rPr>
      </w:pPr>
      <w:r w:rsidRPr="001D27A2">
        <w:rPr>
          <w:rFonts w:eastAsia="Calibri" w:cs="Times New Roman"/>
        </w:rPr>
        <w:t xml:space="preserve">Makroekonomika - </w:t>
      </w:r>
      <w:r w:rsidRPr="001D27A2">
        <w:rPr>
          <w:rFonts w:eastAsia="Calibri" w:cs="Times New Roman"/>
          <w:shd w:val="clear" w:color="auto" w:fill="FFFFFF"/>
        </w:rPr>
        <w:t>tai ekonomiką, kaip visumą („the big picture“), tirianti ekonomikos mokslo šaka. Pagrindinės makroekonomikos tyrimų kryptys yra n</w:t>
      </w:r>
      <w:r w:rsidRPr="001D27A2">
        <w:rPr>
          <w:rFonts w:eastAsia="Calibri" w:cs="Times New Roman"/>
        </w:rPr>
        <w:t>edarbas, infliacija, užimtumas, bendras nacionalinis produktas, bendras vidaus produktas. Makroekonomikos tyrimų objektas – ne individai, bet tam tikros jų grupės: vartotojai, investuotojai, valstybė. Makroekonominės analizės tikslas</w:t>
      </w:r>
      <w:r w:rsidRPr="001D27A2">
        <w:rPr>
          <w:rFonts w:ascii="Arial" w:eastAsia="Calibri" w:hAnsi="Arial" w:cs="Arial"/>
          <w:color w:val="534F4E"/>
          <w:sz w:val="21"/>
          <w:szCs w:val="21"/>
          <w:shd w:val="clear" w:color="auto" w:fill="FFFFFF"/>
        </w:rPr>
        <w:t> </w:t>
      </w:r>
      <w:r w:rsidRPr="001D27A2">
        <w:rPr>
          <w:rFonts w:eastAsia="Calibri" w:cs="Times New Roman"/>
        </w:rPr>
        <w:t>– ne tik ekonominių procesų aiškinimas, bet ir ūkio raidos prognozavimas bei ekonominės politikos tobulinimas</w:t>
      </w:r>
      <w:r w:rsidRPr="001D27A2">
        <w:rPr>
          <w:rFonts w:ascii="Arial" w:eastAsia="Calibri" w:hAnsi="Arial" w:cs="Arial"/>
          <w:color w:val="534F4E"/>
          <w:sz w:val="21"/>
          <w:szCs w:val="21"/>
          <w:shd w:val="clear" w:color="auto" w:fill="FFFFFF"/>
        </w:rPr>
        <w:t xml:space="preserve">. </w:t>
      </w:r>
      <w:r w:rsidRPr="001D27A2">
        <w:rPr>
          <w:rFonts w:eastAsia="Calibri" w:cs="Times New Roman"/>
        </w:rPr>
        <w:t xml:space="preserve">Mikroekonomika, analizuodama ekonomiką kaip visumą, nagrinėja įvairiausius šalies ūkio klausimus, todėl negali būti vienintelio teisingo ekonomikos modelio, tinkančio visiems ūkio plėtros sprendimo atvejams. </w:t>
      </w:r>
    </w:p>
    <w:p w:rsidR="001D27A2" w:rsidRPr="001D27A2" w:rsidRDefault="001D27A2" w:rsidP="001D27A2">
      <w:pPr>
        <w:spacing w:after="100" w:afterAutospacing="1"/>
        <w:rPr>
          <w:rFonts w:eastAsia="Calibri" w:cs="Times New Roman"/>
        </w:rPr>
      </w:pPr>
      <w:r>
        <w:rPr>
          <w:rFonts w:eastAsia="Calibri" w:cs="Times New Roman"/>
        </w:rPr>
        <w:t xml:space="preserve">Šio darbo tikslas yra atlikti Lietuvos ir Graikijos palyginamąją ekonominių rodiklių analizę. Lyginant šių šalių ekonominius rodiklius bus apžvelgta BVP bei BVP vienam gyventojui, </w:t>
      </w:r>
      <w:r w:rsidR="00A94B9D">
        <w:rPr>
          <w:rFonts w:eastAsia="Calibri" w:cs="Times New Roman"/>
        </w:rPr>
        <w:t xml:space="preserve">nedarbo lygis bei užimtumas, valstybių skolos, investicijos ir išlaidos socialinei paramai. </w:t>
      </w:r>
    </w:p>
    <w:p w:rsidR="001D27A2" w:rsidRPr="001D27A2" w:rsidRDefault="001D27A2" w:rsidP="001D27A2"/>
    <w:p w:rsidR="00DB4B48" w:rsidRDefault="00DB4B48">
      <w:pPr>
        <w:jc w:val="left"/>
      </w:pPr>
      <w:r>
        <w:br w:type="page"/>
      </w:r>
    </w:p>
    <w:p w:rsidR="00DB4B48" w:rsidRDefault="00661B9E" w:rsidP="002743AE">
      <w:pPr>
        <w:pStyle w:val="Heading1"/>
      </w:pPr>
      <w:bookmarkStart w:id="5" w:name="_Toc451709413"/>
      <w:r>
        <w:lastRenderedPageBreak/>
        <w:t>Bendrosios ekonominės padėties apžvalga</w:t>
      </w:r>
      <w:bookmarkEnd w:id="5"/>
    </w:p>
    <w:p w:rsidR="00661B9E" w:rsidRPr="00A24D7F" w:rsidRDefault="00A24D7F" w:rsidP="002743AE">
      <w:pPr>
        <w:pStyle w:val="Heading2"/>
      </w:pPr>
      <w:bookmarkStart w:id="6" w:name="_Toc451709414"/>
      <w:r w:rsidRPr="00A24D7F">
        <w:t>Ekonominė padėtis pasaulyje</w:t>
      </w:r>
      <w:bookmarkEnd w:id="6"/>
    </w:p>
    <w:p w:rsidR="00661B9E" w:rsidRDefault="007C50DB" w:rsidP="00661B9E">
      <w:r>
        <w:t xml:space="preserve">Šiuo metu, pasaulio ekonomikos plėtra yra sulėtėjusi. 2015 m. pasaulio ekonomika paaugo 3 proc. – o tai yra mažiausiai nuo 2010 m. kai ūkio aktyvumas ėmė atsigauti po pasaulinės finansų krizės. Pastaraisiais metais ypač sulėtėjo besiformuojančios rinkos ekonomikos šalių ir besivystančių šalių ekonominė plėtra. Tam įtakos turėjo kaupęsis įsiskolinimas kai kuriose šalyse, pvz., Kinijoje, skatinęs įtampą finansų sektoriuje. Taip pat poveikio turėjo ir pasikeitusi padėtis pasaulinėse žaliavų rinkose. Vertinama, kad praėjusiais metais besiformuojančios rinkos ekonomikos šalių ir besivystančių šalių ekonomika paaugo 4 proc. – ketvirtadaliu mažiau, nei ji vidutiniškai </w:t>
      </w:r>
      <w:r w:rsidR="008C2849">
        <w:t>paaugdavo per metus nuo 2010 m.</w:t>
      </w:r>
    </w:p>
    <w:p w:rsidR="00A24D7F" w:rsidRDefault="00A24D7F" w:rsidP="00661B9E">
      <w:r w:rsidRPr="00A24D7F">
        <w:rPr>
          <w:bCs/>
        </w:rPr>
        <w:t>Pastaruoju metu pasaulio ūkis pasižymi ne tik menkesne plėtra, bet ir krintančiomis žaliavų kainomis, visų pirma – energijos.</w:t>
      </w:r>
      <w:r w:rsidRPr="00A24D7F">
        <w:t> Per mažiau nei dvejus metus naftos kaina, skaičiuojama JAV doleriais, iš viso sumažėjo daugiau nei 70 proc. Tokiai kainos raidai lemiamą įtaką darė gausesnės investicijos šios žaliavos išgavimo sektoriuje, sudariusios galimybes didinti naftos išgavimą. Šių pasiūlos pokyčių įvyko, kai pasaulio ekonominė plėtra, taigi ir įvairių žaliavų paklausa, ėmė augti mažiau. Išgautos naftos atsargoms esant nemenkoms, o pasaulio ūkio perspektyvoms – tik nedaug gerėjančioms, manoma, kad naftos kaina artim</w:t>
      </w:r>
      <w:r>
        <w:t>iausiu metu neturėtų stipriau</w:t>
      </w:r>
      <w:r w:rsidRPr="00A24D7F">
        <w:t xml:space="preserve"> kilti.</w:t>
      </w:r>
    </w:p>
    <w:p w:rsidR="00A24D7F" w:rsidRDefault="00A24D7F" w:rsidP="00A24D7F">
      <w:pPr>
        <w:pStyle w:val="Heading2"/>
      </w:pPr>
      <w:bookmarkStart w:id="7" w:name="_Toc451709415"/>
      <w:r>
        <w:t>Ekonominė padėtis Lietuvoje</w:t>
      </w:r>
      <w:bookmarkEnd w:id="7"/>
    </w:p>
    <w:p w:rsidR="008C2849" w:rsidRDefault="008C2849" w:rsidP="00661B9E">
      <w:r w:rsidRPr="008C2849">
        <w:rPr>
          <w:bCs/>
        </w:rPr>
        <w:t>Išorės aplinka stipriai veikia eksporto rodiklius Lietuvoje. Rusijoje – svarbioje Lietuvos prekybos partnerėje – realusis BVP pernai sumažėjo 3,7 proc.</w:t>
      </w:r>
      <w:r w:rsidRPr="008C2849">
        <w:t> Vertinama, kad kitų NVS šalių (jos yra finansiniais ir ekonominiais ryšiais glaudžiai susijusios su Rusijos ūkio raida) ekonomika susitraukė maždaug 2 proc. Tokie pokyčiai ir Rusijos taikomi prekybos apribojimai lėmė, kad 2015 m. prekių eksportas į NVS šalis tapo mažesnis 2,2 mlrd. eurų (beveik trečdaliu), o paslaugų eksportas į šį regioną per 2015 m. pirmuosius tris ketvirčius, palyginti su atitinkamu laikotarpiu prieš metus, sumažėjo 0,3 mlrd. eurų (beveik ketvirtadaliu). Rinkų praradimas rytiniame regione eksportuotojus skatino aktyviau veikti kituose regionuose, visų pirma, šalyse, kuriose paklausa importuojamoms prekėms ir paslaugoms augo. 2015 m. ypač pagyvėjo tiek prekių, tiek paslaugų eksportas į ES šalis. Prie eksporto augimo prisidėjo ir ūgtelėjęs eksportas į JAV, Saudo Arabiją, Jungtinius Arabų Emyratus, Pietų Korėją, Indiją, Ukrainą ir kt. Nepaisant pablogėjusios tarptautinės aplinkos, šalies eksporto rezultatai pernai vis dėlto nebuvo nuviliantys – per metus ir realusis prekių, ir realusis paslaugų eksportas net šiek tiek padidėjo.</w:t>
      </w:r>
    </w:p>
    <w:p w:rsidR="00C1249B" w:rsidRDefault="00C1249B" w:rsidP="00661B9E">
      <w:r w:rsidRPr="00C1249B">
        <w:rPr>
          <w:bCs/>
        </w:rPr>
        <w:lastRenderedPageBreak/>
        <w:t>Vartotojų kainos yra pastebimai nukritusios.</w:t>
      </w:r>
      <w:r w:rsidRPr="00C1249B">
        <w:t> 2015 m. buvo pirmieji neigiamos vidutinės metinės infliacijos metai po daugiau nei dešimtmečio pertraukos (paskutinį kartą infliacija buvo neigiama 2003 m.). Kainos krito dėl išorės veiksnių, ypač dėl pasaulyje pigusios naftos. Dėl jos atpigimo labai sumažėjo energijos prekių kainos Lietuvoje, o tai ir lėmė neigiamą infliaciją. Vis dėlto numatoma, kad tokia padėtis nesitęs, t. y. šiemet ir 2017 m. infliacija jau turėtų būti teigiama. Prognozuojama, kad šiemet ji sudarys 0,5, o 2017 m. – 1,8 proc. Tiesa, dabar numatoma 2016 m. infliacija yra gerokai mažesnė, nei ji prognozuota anksčiau. Šie prognozės pokyčiai irgi yra susiję su nafta: pastaraisiais mėnesiais ji buvo daug pigesnė, nei tikėtasi, todėl ir energijos kainos vartotojams šiais metais turėtų kristi kur kas labiau, nei anksčiau manyta. Kitų – ne energijos – kainų prognozė iš esmės nesikeičia: kainos ir toliau kils, tačiau kilimas nebus spartus.</w:t>
      </w:r>
    </w:p>
    <w:p w:rsidR="00A24D7F" w:rsidRDefault="00A24D7F" w:rsidP="00A24D7F">
      <w:pPr>
        <w:pStyle w:val="Heading2"/>
      </w:pPr>
      <w:bookmarkStart w:id="8" w:name="_Toc451709416"/>
      <w:r>
        <w:t>Ekonominė padėtis Graikijoje</w:t>
      </w:r>
      <w:bookmarkEnd w:id="8"/>
    </w:p>
    <w:p w:rsidR="00810853" w:rsidRPr="00810853" w:rsidRDefault="00810853" w:rsidP="00810853">
      <w:pPr>
        <w:spacing w:after="100" w:afterAutospacing="1"/>
        <w:ind w:firstLine="851"/>
        <w:rPr>
          <w:rFonts w:eastAsia="Calibri" w:cs="Times New Roman"/>
        </w:rPr>
      </w:pPr>
      <w:r w:rsidRPr="00810853">
        <w:rPr>
          <w:rFonts w:eastAsia="Calibri" w:cs="Times New Roman"/>
        </w:rPr>
        <w:t xml:space="preserve">Paskutiniu metu Graikijos ekonomika negalėjo pasigirti puikiais augimo tempais. </w:t>
      </w:r>
      <w:r>
        <w:rPr>
          <w:rFonts w:eastAsia="Calibri" w:cs="Times New Roman"/>
        </w:rPr>
        <w:t>2008 m.</w:t>
      </w:r>
      <w:r w:rsidRPr="00810853">
        <w:rPr>
          <w:rFonts w:eastAsia="Calibri" w:cs="Times New Roman"/>
        </w:rPr>
        <w:t xml:space="preserve"> Graikiją užklupusią krizę išprovokavo nemažai faktorių. Kai kurie jų yra endogeniniai, susiję su šalies ekonomikos struktūra, užsitęsusiu makroekonominiu disbalansu dėl netvirtos ir nepatikimos makroekonominės politikos. Kiti faktoriai, tuo tarpu, yra egzogeniniai – pastarųjų finansinių neramumų bei Europos reakcijos į Graikijos krizę išdava.</w:t>
      </w:r>
    </w:p>
    <w:p w:rsidR="00192EB4" w:rsidRDefault="00192EB4">
      <w:pPr>
        <w:spacing w:after="160" w:line="259" w:lineRule="auto"/>
        <w:ind w:firstLine="0"/>
        <w:jc w:val="left"/>
        <w:rPr>
          <w:rFonts w:eastAsiaTheme="majorEastAsia" w:cstheme="majorBidi"/>
          <w:b/>
          <w:sz w:val="28"/>
          <w:szCs w:val="32"/>
        </w:rPr>
      </w:pPr>
      <w:r>
        <w:br w:type="page"/>
      </w:r>
    </w:p>
    <w:p w:rsidR="00A24D7F" w:rsidRDefault="006C5C73" w:rsidP="002743AE">
      <w:pPr>
        <w:pStyle w:val="Heading1"/>
      </w:pPr>
      <w:bookmarkStart w:id="9" w:name="_Toc451709417"/>
      <w:r>
        <w:lastRenderedPageBreak/>
        <w:t>Rodiklių analizė</w:t>
      </w:r>
      <w:bookmarkEnd w:id="9"/>
    </w:p>
    <w:p w:rsidR="006C5C73" w:rsidRDefault="006C5C73" w:rsidP="006C5C73">
      <w:pPr>
        <w:pStyle w:val="Heading2"/>
      </w:pPr>
      <w:bookmarkStart w:id="10" w:name="_Toc451709418"/>
      <w:r>
        <w:t>Bendrasis vidaus produktas</w:t>
      </w:r>
      <w:bookmarkEnd w:id="10"/>
    </w:p>
    <w:p w:rsidR="006C5C73" w:rsidRDefault="006C5C73" w:rsidP="006C5C73">
      <w:r w:rsidRPr="006C5C73">
        <w:rPr>
          <w:bCs/>
        </w:rPr>
        <w:t>Bendrasis vidaus produktas (BVP)</w:t>
      </w:r>
      <w:r w:rsidRPr="006C5C73">
        <w:t> – bendrosios pajamos, sukurtos šalies teritorijoje, taip pat užsienio gamybos veiksnių gautos pajamos konkrečioje šalyje, minus šios šalies piliečių gautos pajamos užsienyje.</w:t>
      </w:r>
      <w:r>
        <w:t xml:space="preserve"> Tai </w:t>
      </w:r>
      <w:r w:rsidRPr="006C5C73">
        <w:t>vienas iš pagrindinių rodiklių, rodančių šalies</w:t>
      </w:r>
      <w:r>
        <w:t xml:space="preserve"> </w:t>
      </w:r>
      <w:r w:rsidRPr="006C5C73">
        <w:t>ekonomikos</w:t>
      </w:r>
      <w:r>
        <w:t xml:space="preserve"> </w:t>
      </w:r>
      <w:r w:rsidRPr="006C5C73">
        <w:t>išsivystymo lygį. Bendrasis vidaus produktas yra apibrėžiamas kaip galutinė prekių ir paslaugų sukurtų šalyje rinkos vertė per tam tikrą laiko tarpą.</w:t>
      </w:r>
    </w:p>
    <w:p w:rsidR="00536383" w:rsidRPr="00536383" w:rsidRDefault="00456509" w:rsidP="00536383">
      <w:r>
        <w:t xml:space="preserve">2015 m. Lietuvos BVP sudarė 37,2 mlrd. eurų. Lyginant su 2014 m. šalies BVP paaugo 1,7 proc. Tai mažiausias pokytis nuo 2010 m. </w:t>
      </w:r>
      <w:r w:rsidRPr="00456509">
        <w:t>Didelę įtaką BVP augimui 2015 m. turėjo pramonės, didmeninės ir mažmeninės prekybos bei variklių transporto priemonių, transporto ir saugojimo, apgyvendinimo ir maitinimo paslaugų įmonių sukurta pridėtinė vertė</w:t>
      </w:r>
      <w:r>
        <w:t>.</w:t>
      </w:r>
      <w:r w:rsidR="0016751C">
        <w:t xml:space="preserve"> Tačiau statybos ir ūkio sektoriai vystėsi lėčiau nei 2014 m. kas ir lėmė mažesnį BVP augimą. 2014 m. BVP augimas Lietuvoje buvo 2,9 proc.</w:t>
      </w:r>
    </w:p>
    <w:p w:rsidR="00536383" w:rsidRDefault="00536383" w:rsidP="00536383"/>
    <w:p w:rsidR="0016751C" w:rsidRDefault="00536383" w:rsidP="00536383">
      <w:r>
        <w:rPr>
          <w:noProof/>
          <w:lang w:eastAsia="lt-LT"/>
        </w:rPr>
        <w:drawing>
          <wp:inline distT="0" distB="0" distL="0" distR="0" wp14:anchorId="62B871E2" wp14:editId="58F5DC51">
            <wp:extent cx="5231130" cy="26898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1130" cy="2689860"/>
                    </a:xfrm>
                    <a:prstGeom prst="rect">
                      <a:avLst/>
                    </a:prstGeom>
                    <a:noFill/>
                    <a:ln>
                      <a:noFill/>
                    </a:ln>
                  </pic:spPr>
                </pic:pic>
              </a:graphicData>
            </a:graphic>
          </wp:inline>
        </w:drawing>
      </w:r>
    </w:p>
    <w:p w:rsidR="0016751C" w:rsidRPr="006C5C73" w:rsidRDefault="0016751C" w:rsidP="00792056">
      <w:pPr>
        <w:tabs>
          <w:tab w:val="left" w:pos="3633"/>
        </w:tabs>
        <w:jc w:val="center"/>
      </w:pPr>
      <w:r w:rsidRPr="008557CA">
        <w:rPr>
          <w:b/>
        </w:rPr>
        <w:t>1 Pav.</w:t>
      </w:r>
      <w:r>
        <w:t xml:space="preserve"> Lietuvos BVP ir BVP vienam gyventojui</w:t>
      </w:r>
    </w:p>
    <w:p w:rsidR="00536383" w:rsidRDefault="00536383" w:rsidP="00536383"/>
    <w:p w:rsidR="00536383" w:rsidRDefault="00536383" w:rsidP="00536383">
      <w:r w:rsidRPr="00536383">
        <w:t xml:space="preserve">Bendrasis vidaus produktas 2014 m. Graikijoje buvo vertas 211,77 mlrd. eurų. BVP vertė Graikijoje sudaro 0,38 proc. pasaulio ekonomikos. Graikijos BVP vidurkis 1960 iki 2014 metais siekia 95,86 mlrd. eurų, didžiausias BVP 2008 m. – 316,09 mlrd. </w:t>
      </w:r>
      <w:r w:rsidR="00846FC3">
        <w:t>eurų</w:t>
      </w:r>
      <w:r w:rsidRPr="00536383">
        <w:t xml:space="preserve">, o žemiausias BVP Graikijoje buvo 1960 metais – </w:t>
      </w:r>
      <w:r w:rsidRPr="00536383">
        <w:lastRenderedPageBreak/>
        <w:t xml:space="preserve">3,97 mlrd. </w:t>
      </w:r>
      <w:r w:rsidR="00846FC3">
        <w:t>eurų</w:t>
      </w:r>
      <w:r w:rsidRPr="00536383">
        <w:t>, kaip pranešė Pasaulio banko grupės (World Bank Group).</w:t>
      </w:r>
      <w:r w:rsidR="00AA36E5">
        <w:t xml:space="preserve"> </w:t>
      </w:r>
      <w:r w:rsidR="00846FC3">
        <w:t>Bendrasis vidaus produktas tenkantis vienam gyventojui Graikijoje 2013 m. buvo 21 330,</w:t>
      </w:r>
      <w:r w:rsidR="00846FC3" w:rsidRPr="00846FC3">
        <w:t>09</w:t>
      </w:r>
      <w:r w:rsidR="00846FC3">
        <w:t xml:space="preserve"> eurų ir užėmė 19 vietą Europoje ir buvo beveik dvigubai didesnis nei Lietuvoje.</w:t>
      </w:r>
    </w:p>
    <w:p w:rsidR="00536383" w:rsidRPr="00536383" w:rsidRDefault="00536383" w:rsidP="00536383">
      <w:r w:rsidRPr="00536383">
        <w:rPr>
          <w:rFonts w:eastAsia="Calibri" w:cs="Times New Roman"/>
          <w:noProof/>
          <w:lang w:eastAsia="lt-LT"/>
        </w:rPr>
        <w:drawing>
          <wp:inline distT="0" distB="0" distL="0" distR="0" wp14:anchorId="354CD941" wp14:editId="603759DE">
            <wp:extent cx="6118859" cy="2679404"/>
            <wp:effectExtent l="0" t="0" r="0" b="6985"/>
            <wp:docPr id="6" name="Picture 6" descr="Greece G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eece GDP"/>
                    <pic:cNvPicPr>
                      <a:picLocks noChangeAspect="1" noChangeArrowheads="1"/>
                    </pic:cNvPicPr>
                  </pic:nvPicPr>
                  <pic:blipFill>
                    <a:blip r:embed="rId10"/>
                    <a:srcRect/>
                    <a:stretch>
                      <a:fillRect/>
                    </a:stretch>
                  </pic:blipFill>
                  <pic:spPr bwMode="auto">
                    <a:xfrm>
                      <a:off x="0" y="0"/>
                      <a:ext cx="6125864" cy="2682471"/>
                    </a:xfrm>
                    <a:prstGeom prst="rect">
                      <a:avLst/>
                    </a:prstGeom>
                    <a:noFill/>
                    <a:ln w="9525">
                      <a:noFill/>
                      <a:miter lim="800000"/>
                      <a:headEnd/>
                      <a:tailEnd/>
                    </a:ln>
                  </pic:spPr>
                </pic:pic>
              </a:graphicData>
            </a:graphic>
          </wp:inline>
        </w:drawing>
      </w:r>
    </w:p>
    <w:p w:rsidR="00CC7911" w:rsidRDefault="00AA36E5" w:rsidP="00AA36E5">
      <w:pPr>
        <w:jc w:val="center"/>
      </w:pPr>
      <w:r w:rsidRPr="008557CA">
        <w:rPr>
          <w:b/>
        </w:rPr>
        <w:t>2 Pav.</w:t>
      </w:r>
      <w:r>
        <w:t xml:space="preserve"> Graikijos BVP (mlrd. JAV dolerių)</w:t>
      </w:r>
    </w:p>
    <w:p w:rsidR="0016751C" w:rsidRDefault="00AD19CF" w:rsidP="00AD19CF">
      <w:pPr>
        <w:pStyle w:val="Heading2"/>
      </w:pPr>
      <w:bookmarkStart w:id="11" w:name="_Toc451709419"/>
      <w:r>
        <w:t>Investicijos</w:t>
      </w:r>
      <w:bookmarkEnd w:id="11"/>
    </w:p>
    <w:p w:rsidR="00AD19CF" w:rsidRDefault="00AD19CF" w:rsidP="00AD19CF">
      <w:r>
        <w:t xml:space="preserve">Lietuvos banko duomenimis 2015 m. tiesioginių užsienio investicijų srautas Lietuvoje didėjo, o Lietuvos tiesioginių investicijų srautas užsienyje šiek tiek mažėjo. Tiesioginių užsienio investicijų </w:t>
      </w:r>
      <w:r w:rsidRPr="00AD19CF">
        <w:t xml:space="preserve">srautas Lietuvoje sudarė 775,5 mln. eurų (2,1 proc. BVP) ir, palyginti su 2014 m., padidėjo 893,6 mln. eurų. 2015 m. teigiamą </w:t>
      </w:r>
      <w:r w:rsidR="00792056">
        <w:t xml:space="preserve">tiesioginių užsienio investicijų </w:t>
      </w:r>
      <w:r w:rsidRPr="00AD19CF">
        <w:t>Lietuvoje srautą nulėmė didėjusios reinvesticijo</w:t>
      </w:r>
      <w:r>
        <w:t>s (647,3 mln. eurų</w:t>
      </w:r>
      <w:r w:rsidRPr="00AD19CF">
        <w:t>) ir investicijos į nuo</w:t>
      </w:r>
      <w:r>
        <w:t>savybės priemones (207,9 mln. eurų</w:t>
      </w:r>
      <w:r w:rsidRPr="00AD19CF">
        <w:t>).</w:t>
      </w:r>
    </w:p>
    <w:p w:rsidR="00792056" w:rsidRDefault="00792056" w:rsidP="00AD19CF">
      <w:r>
        <w:rPr>
          <w:noProof/>
          <w:lang w:eastAsia="lt-LT"/>
        </w:rPr>
        <w:drawing>
          <wp:inline distT="0" distB="0" distL="0" distR="0">
            <wp:extent cx="6209665" cy="1042035"/>
            <wp:effectExtent l="0" t="0" r="63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09665" cy="1042035"/>
                    </a:xfrm>
                    <a:prstGeom prst="rect">
                      <a:avLst/>
                    </a:prstGeom>
                    <a:noFill/>
                    <a:ln>
                      <a:noFill/>
                    </a:ln>
                  </pic:spPr>
                </pic:pic>
              </a:graphicData>
            </a:graphic>
          </wp:inline>
        </w:drawing>
      </w:r>
    </w:p>
    <w:p w:rsidR="00792056" w:rsidRDefault="008557CA" w:rsidP="00792056">
      <w:pPr>
        <w:tabs>
          <w:tab w:val="left" w:pos="4688"/>
          <w:tab w:val="left" w:pos="6195"/>
        </w:tabs>
        <w:jc w:val="center"/>
      </w:pPr>
      <w:r w:rsidRPr="008557CA">
        <w:rPr>
          <w:b/>
        </w:rPr>
        <w:t>3</w:t>
      </w:r>
      <w:r w:rsidR="00792056" w:rsidRPr="008557CA">
        <w:rPr>
          <w:b/>
        </w:rPr>
        <w:t xml:space="preserve"> Pav.</w:t>
      </w:r>
      <w:r w:rsidR="00792056">
        <w:t xml:space="preserve"> Tiesioginių užsienio investicijų srautas Lietuvoje (mln. eurų)</w:t>
      </w:r>
    </w:p>
    <w:p w:rsidR="00792056" w:rsidRDefault="00792056" w:rsidP="00792056">
      <w:pPr>
        <w:tabs>
          <w:tab w:val="left" w:pos="4688"/>
          <w:tab w:val="left" w:pos="6195"/>
        </w:tabs>
      </w:pPr>
      <w:r w:rsidRPr="00792056">
        <w:t xml:space="preserve">2015 m. gruodžio 31 d. duomenimis, daugiausia investuota į finansinę ir draudimo veiklą – 3,7 mlrd. eurų (27,7 proc.), apdirbamąją gamybą – 2,8 mlrd. eurų (21,1 proc.), nekilnojamojo turto operacijų veiklą – 1,9 mlrd. eurų (14,3 proc.), didmeninę ir mažmeninę prekybą, variklinių transporto priemonių ir </w:t>
      </w:r>
      <w:r w:rsidRPr="00792056">
        <w:lastRenderedPageBreak/>
        <w:t xml:space="preserve">motociklų remontą – 1,4 mlrd. eurų (10,5 proc.), informacijos ir ryšių veiklą – 1,2 mlrd. eurų, t. y. 8,7 procento visų </w:t>
      </w:r>
      <w:r>
        <w:t>tiesioginių užsienio investicijų.</w:t>
      </w:r>
      <w:r w:rsidRPr="00792056">
        <w:t xml:space="preserve"> Iš apdirbamosios gamybos daugiausia investuota į rafinuotų naftos produktų, chemikalų ir chemijos produktų, farmacinių preparatų gamybą – 1,2 mlrd. eurų (42,9 proc. visų apdirbamosios gamybos </w:t>
      </w:r>
      <w:r>
        <w:t>tiesioginių užsienio investicijų</w:t>
      </w:r>
      <w:r w:rsidRPr="00792056">
        <w:t>) ir maisto produktų, gėrimų ir tabako gaminių gamybą – 406,1 mln. eurų (14,5 proc.).</w:t>
      </w:r>
    </w:p>
    <w:p w:rsidR="00792056" w:rsidRDefault="00792056" w:rsidP="00792056">
      <w:pPr>
        <w:tabs>
          <w:tab w:val="left" w:pos="4688"/>
          <w:tab w:val="left" w:pos="6195"/>
        </w:tabs>
      </w:pPr>
      <w:r w:rsidRPr="00792056">
        <w:t>2015 m. užfiksuotas neigiamas Lietu</w:t>
      </w:r>
      <w:r>
        <w:t>vos tiesioginių investicijų</w:t>
      </w:r>
      <w:r w:rsidRPr="00792056">
        <w:t xml:space="preserve"> srautas užsienyje</w:t>
      </w:r>
      <w:r>
        <w:t xml:space="preserve"> rodo jų mažėjimą (–8,8 mln. eurų</w:t>
      </w:r>
      <w:r w:rsidRPr="00792056">
        <w:t xml:space="preserve">), kurį nulėmė sumažėjusios investicijos į </w:t>
      </w:r>
      <w:r>
        <w:t>skolos priemones (–53,2 mln. eurų</w:t>
      </w:r>
      <w:r w:rsidRPr="00792056">
        <w:t>)</w:t>
      </w:r>
      <w:r>
        <w:t xml:space="preserve"> ir reinvesticijos (–3,2 mln. eurų</w:t>
      </w:r>
      <w:r w:rsidRPr="00792056">
        <w:t>).</w:t>
      </w:r>
    </w:p>
    <w:p w:rsidR="002C6614" w:rsidRDefault="002C6614" w:rsidP="00792056">
      <w:pPr>
        <w:tabs>
          <w:tab w:val="left" w:pos="4688"/>
          <w:tab w:val="left" w:pos="6195"/>
        </w:tabs>
      </w:pPr>
      <w:r>
        <w:rPr>
          <w:noProof/>
          <w:lang w:eastAsia="lt-LT"/>
        </w:rPr>
        <w:drawing>
          <wp:inline distT="0" distB="0" distL="0" distR="0">
            <wp:extent cx="6283960" cy="105283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3960" cy="1052830"/>
                    </a:xfrm>
                    <a:prstGeom prst="rect">
                      <a:avLst/>
                    </a:prstGeom>
                    <a:noFill/>
                    <a:ln>
                      <a:noFill/>
                    </a:ln>
                  </pic:spPr>
                </pic:pic>
              </a:graphicData>
            </a:graphic>
          </wp:inline>
        </w:drawing>
      </w:r>
    </w:p>
    <w:p w:rsidR="002C6614" w:rsidRDefault="008557CA" w:rsidP="002C6614">
      <w:pPr>
        <w:tabs>
          <w:tab w:val="left" w:pos="4136"/>
        </w:tabs>
        <w:jc w:val="center"/>
      </w:pPr>
      <w:r w:rsidRPr="008557CA">
        <w:rPr>
          <w:b/>
        </w:rPr>
        <w:t>4</w:t>
      </w:r>
      <w:r w:rsidR="002C6614" w:rsidRPr="008557CA">
        <w:rPr>
          <w:b/>
        </w:rPr>
        <w:t xml:space="preserve"> Pav.</w:t>
      </w:r>
      <w:r w:rsidR="002C6614">
        <w:t xml:space="preserve"> Lietuvos tiesioginių investicijų srautas užsienyje (mln. eurų)</w:t>
      </w:r>
    </w:p>
    <w:p w:rsidR="00F369B9" w:rsidRDefault="00F369B9" w:rsidP="002C6614">
      <w:pPr>
        <w:tabs>
          <w:tab w:val="left" w:pos="4136"/>
        </w:tabs>
        <w:jc w:val="center"/>
      </w:pPr>
    </w:p>
    <w:p w:rsidR="002C6614" w:rsidRDefault="002C6614" w:rsidP="001752A6">
      <w:pPr>
        <w:tabs>
          <w:tab w:val="left" w:pos="4136"/>
        </w:tabs>
      </w:pPr>
      <w:r w:rsidRPr="002C6614">
        <w:t>Daugiausia Lietuvos investuotojai užsienyje investavo į nekilnojamo</w:t>
      </w:r>
      <w:r>
        <w:t>jo turto operacijų (59,7 mln. eurų</w:t>
      </w:r>
      <w:r w:rsidRPr="002C6614">
        <w:t>), didmeninės ir mažmeninės prekybos, variklinių transporto priemonių ir motociklų remonto (16,4 mln.</w:t>
      </w:r>
      <w:r>
        <w:t xml:space="preserve"> eurų</w:t>
      </w:r>
      <w:r w:rsidRPr="002C6614">
        <w:t xml:space="preserve">), profesinę, mokslinę ir techninę (12 mln. </w:t>
      </w:r>
      <w:r>
        <w:t>eurų</w:t>
      </w:r>
      <w:r w:rsidRPr="002C6614">
        <w:t xml:space="preserve">), informacijos ir ryšių (7 mln. </w:t>
      </w:r>
      <w:r>
        <w:t>eurų</w:t>
      </w:r>
      <w:r w:rsidRPr="002C6614">
        <w:t xml:space="preserve">), statybos (5,3 mln. </w:t>
      </w:r>
      <w:r>
        <w:t>eurų</w:t>
      </w:r>
      <w:r w:rsidRPr="002C6614">
        <w:t xml:space="preserve">) veiklą. Labiausiai mažėjo investicijos į transporto ir saugojimo (–53,8 mln. </w:t>
      </w:r>
      <w:r>
        <w:t>eurų</w:t>
      </w:r>
      <w:r w:rsidRPr="002C6614">
        <w:t xml:space="preserve">) bei finansinę ir draudimo (–32,2 mln. </w:t>
      </w:r>
      <w:r>
        <w:t>eurų</w:t>
      </w:r>
      <w:r w:rsidRPr="002C6614">
        <w:t>) veiklą</w:t>
      </w:r>
      <w:r>
        <w:t>.</w:t>
      </w:r>
    </w:p>
    <w:p w:rsidR="00C93797" w:rsidRDefault="00C93797" w:rsidP="001752A6">
      <w:pPr>
        <w:tabs>
          <w:tab w:val="left" w:pos="4136"/>
        </w:tabs>
      </w:pPr>
      <w:r w:rsidRPr="00C93797">
        <w:t>2007–2013 m. laikotarpi</w:t>
      </w:r>
      <w:r>
        <w:t>u Graikija jau gavo 38 mlrd. eurų (17,5 proc.</w:t>
      </w:r>
      <w:r w:rsidRPr="00C93797">
        <w:t xml:space="preserve"> vidutinio metinio Graikijos BVP tuo laikotarpiu) iš ES sanglaudos, žemės ūkio, kaimo plėtros ir žuvininkystės politikos fondų. Asignavimai 2007–2013 m. programavimo laikotarpiu iš</w:t>
      </w:r>
      <w:r>
        <w:t xml:space="preserve"> viso sudarė beveik 42 mlrd. eurų.</w:t>
      </w:r>
    </w:p>
    <w:p w:rsidR="00C93797" w:rsidRDefault="00C93797" w:rsidP="001752A6">
      <w:pPr>
        <w:tabs>
          <w:tab w:val="left" w:pos="4136"/>
        </w:tabs>
      </w:pPr>
      <w:r>
        <w:t>2014–2020 m. laikotarpiu Graikijai bus skirta daugiau nei 35 mlrd. eurų ES lėšų iš:</w:t>
      </w:r>
    </w:p>
    <w:p w:rsidR="00C93797" w:rsidRDefault="00C93797" w:rsidP="00C93797">
      <w:pPr>
        <w:pStyle w:val="ListParagraph"/>
        <w:numPr>
          <w:ilvl w:val="0"/>
          <w:numId w:val="1"/>
        </w:numPr>
        <w:tabs>
          <w:tab w:val="left" w:pos="4136"/>
        </w:tabs>
      </w:pPr>
      <w:r w:rsidRPr="00C93797">
        <w:t>Europos regioninės plėtros ir Sanglaudos fondų, kurie teikia paramą MVĮ investicijoms, inovacijų ir mokslinių tyrimų veiklai, skaitmeninimui ir priemonėms, skirtoms verslo aplinkai gerinti, taip pat pagrindinei tvaraus transporto infrastruktūrai, aplinkosaugai ir efektyviam išteklių naudojimui, mažo anglies dioksido kiekio technologijų ekonomikai ir kovai su klimato kaita;</w:t>
      </w:r>
    </w:p>
    <w:p w:rsidR="00C93797" w:rsidRDefault="00C93797" w:rsidP="00C93797">
      <w:pPr>
        <w:pStyle w:val="ListParagraph"/>
        <w:numPr>
          <w:ilvl w:val="0"/>
          <w:numId w:val="1"/>
        </w:numPr>
        <w:tabs>
          <w:tab w:val="left" w:pos="4136"/>
        </w:tabs>
      </w:pPr>
      <w:r>
        <w:lastRenderedPageBreak/>
        <w:t>Europos socialinio fondo, iš kurio finansuojama aktyvi darbo rinkos ir socialinės įtraukties politika, kuria siekiama suteikti jaunimui ir ilgalaikiams bedarbiams darbo, profesinio mokymo ir pameistrystės galimybių;</w:t>
      </w:r>
    </w:p>
    <w:p w:rsidR="00C93797" w:rsidRDefault="00C93797" w:rsidP="00C93797">
      <w:pPr>
        <w:pStyle w:val="ListParagraph"/>
        <w:numPr>
          <w:ilvl w:val="0"/>
          <w:numId w:val="1"/>
        </w:numPr>
        <w:tabs>
          <w:tab w:val="left" w:pos="4136"/>
        </w:tabs>
      </w:pPr>
      <w:r>
        <w:t>Jaunimo užimtumo iniciatyvos, kuri padeda jaunimui įgyti pirmos darbo patirties, geresnį išsilavinimą, stažuotis ir įgyti profesiją, biudžeto;</w:t>
      </w:r>
    </w:p>
    <w:p w:rsidR="00C93797" w:rsidRDefault="00C93797" w:rsidP="00C93797">
      <w:pPr>
        <w:pStyle w:val="ListParagraph"/>
        <w:numPr>
          <w:ilvl w:val="0"/>
          <w:numId w:val="1"/>
        </w:numPr>
        <w:tabs>
          <w:tab w:val="left" w:pos="4136"/>
        </w:tabs>
      </w:pPr>
      <w:r w:rsidRPr="00C93797">
        <w:t>Europos pagalbos labiausiai skurstantiems asmenims fondo, kuris teikia pagalbą, maistą, rūbus, higienos produktus ir kitus būtinus reikmenis tiems, kuriems to labiausiai reikia, kad palengvintų jų naštą;</w:t>
      </w:r>
    </w:p>
    <w:p w:rsidR="00C93797" w:rsidRDefault="00C93797" w:rsidP="00C93797">
      <w:pPr>
        <w:pStyle w:val="ListParagraph"/>
        <w:numPr>
          <w:ilvl w:val="0"/>
          <w:numId w:val="1"/>
        </w:numPr>
        <w:tabs>
          <w:tab w:val="left" w:pos="4136"/>
        </w:tabs>
      </w:pPr>
      <w:r w:rsidRPr="00C93797">
        <w:t>Europos žemės ūkio garantijų fondo, kuris skiria tiesiogines išmokas ūkininkams pajamų paramos forma ir taiko priemones, kuriomis remiamos pagrindinės žemės ūkio rinkos;</w:t>
      </w:r>
    </w:p>
    <w:p w:rsidR="00C93797" w:rsidRDefault="00C93797" w:rsidP="00C93797">
      <w:pPr>
        <w:pStyle w:val="ListParagraph"/>
        <w:numPr>
          <w:ilvl w:val="0"/>
          <w:numId w:val="1"/>
        </w:numPr>
        <w:tabs>
          <w:tab w:val="left" w:pos="4136"/>
        </w:tabs>
      </w:pPr>
      <w:r w:rsidRPr="00C93797">
        <w:t>Europos žemės ūkio fondo kaimo plėtrai, kuris padeda didinti žemės ūkio sektoriaus konkurencingumą, skatina novatoriškas ūkininkavimo technologijas bei tvarų miškų valdymą ir skatina ekonominę plėtrą ir darbo vietų kūrimą kaimo vietovėse;</w:t>
      </w:r>
    </w:p>
    <w:p w:rsidR="00C93797" w:rsidRDefault="00C93797" w:rsidP="00C93797">
      <w:pPr>
        <w:pStyle w:val="ListParagraph"/>
        <w:numPr>
          <w:ilvl w:val="0"/>
          <w:numId w:val="1"/>
        </w:numPr>
        <w:tabs>
          <w:tab w:val="left" w:pos="4136"/>
        </w:tabs>
      </w:pPr>
      <w:r w:rsidRPr="00C93797">
        <w:t>Europos jūrų reikalų ir žuvininkystės fondo, kuris padeda pakrančių bendruomenėms įvairinti vietos ekonomiką ir pereiti prie tausios žuvininkystės.</w:t>
      </w:r>
    </w:p>
    <w:p w:rsidR="00C93797" w:rsidRDefault="00C93797" w:rsidP="00C93797">
      <w:pPr>
        <w:pStyle w:val="ListParagraph"/>
        <w:tabs>
          <w:tab w:val="left" w:pos="4136"/>
        </w:tabs>
        <w:ind w:left="1117" w:firstLine="0"/>
      </w:pPr>
    </w:p>
    <w:p w:rsidR="001752A6" w:rsidRDefault="001752A6" w:rsidP="001752A6">
      <w:pPr>
        <w:pStyle w:val="Heading2"/>
      </w:pPr>
      <w:bookmarkStart w:id="12" w:name="_Toc451709420"/>
      <w:r>
        <w:t>Valstybės skola</w:t>
      </w:r>
      <w:bookmarkEnd w:id="12"/>
    </w:p>
    <w:p w:rsidR="001752A6" w:rsidRDefault="001752A6" w:rsidP="001752A6">
      <w:r>
        <w:t xml:space="preserve">Valstybės skola, tai vyriausybės, savivaldybių, valstybės socialinės apsaugos fondų ir su jais susijusių </w:t>
      </w:r>
      <w:r w:rsidR="006C59DC">
        <w:t>subjektų, turinčių teisę skolintis, priimtų, bet dar neįvykdytų įsipareigojimų konsoliduota suma.</w:t>
      </w:r>
    </w:p>
    <w:p w:rsidR="006C59DC" w:rsidRDefault="006C59DC" w:rsidP="001752A6">
      <w:r>
        <w:t>2015 m. Lietuvos skola siekė 15,81 mlrd. eurų, arba 42,5 proc. bendrojo vidaus produkto, o 2014 m. pabaigoje skola siekė 15,57 mlrd. eurų ir sudarė 42,9 proc. BVP. Didžiausią dalį skolos 2015 m. sudarė įsiskolinimai užsieniui – 77,8 proc. visos skolos. Užsienio finansų institucijoms – 10,91 mlrd. eurų, tarptautinėms organizacijoms – 1,39 mlrd. eurų.</w:t>
      </w:r>
    </w:p>
    <w:p w:rsidR="00846FC3" w:rsidRDefault="00846FC3" w:rsidP="001752A6">
      <w:r>
        <w:t>Graikijos skola 2015 m. siekė 326,</w:t>
      </w:r>
      <w:r w:rsidRPr="00846FC3">
        <w:t>23</w:t>
      </w:r>
      <w:r>
        <w:t xml:space="preserve"> mlrd. eurų, arba 175 proc. bendrojo vidaus produkto. </w:t>
      </w:r>
      <w:r w:rsidRPr="00846FC3">
        <w:t>Dabartinė Atėnų su Europos kreditoriais vykdoma programa reikalauja sumažinti skolą</w:t>
      </w:r>
      <w:r w:rsidR="00C93797">
        <w:t xml:space="preserve"> iki 110 proc. BVP iki 2022 m.</w:t>
      </w:r>
    </w:p>
    <w:p w:rsidR="006C59DC" w:rsidRDefault="005F463F" w:rsidP="006C59DC">
      <w:pPr>
        <w:pStyle w:val="Heading2"/>
      </w:pPr>
      <w:bookmarkStart w:id="13" w:name="_Toc451709421"/>
      <w:r>
        <w:t>Nedarbo lygis</w:t>
      </w:r>
      <w:bookmarkEnd w:id="13"/>
    </w:p>
    <w:p w:rsidR="005F463F" w:rsidRDefault="005F463F" w:rsidP="005F463F">
      <w:r>
        <w:t xml:space="preserve">Europos Sąjungos statistikos agentūros „Eurostat“ duomenimis, 2015 m. pabaigoje nedarbo lygis euro zonoje sudarė 10,4 proc., o tų pačių metų pradžioje jis siekė 11,3 proc. Tai žemiausias euro zonoje </w:t>
      </w:r>
      <w:r>
        <w:lastRenderedPageBreak/>
        <w:t>u</w:t>
      </w:r>
      <w:r w:rsidR="000A34BA">
        <w:t>žregistruotas rodiklis nuo 2011 m. Visoje Europos Sąjungoje nedarbo lygis siekė 8,9 proc., o tai yra žemiausias rodiklis nuo 2009 m.</w:t>
      </w:r>
    </w:p>
    <w:p w:rsidR="000A34BA" w:rsidRDefault="000A34BA" w:rsidP="005F463F">
      <w:r>
        <w:t>Lietuvoje nedarbo lygis 2015 m. buvo 9,1 proc.</w:t>
      </w:r>
      <w:r w:rsidR="00C33BB5">
        <w:t xml:space="preserve"> </w:t>
      </w:r>
      <w:r w:rsidR="00180875">
        <w:t xml:space="preserve">taigi nedaug atsilieka nuo Europos sąjungos vidurkio ir 1,6 proc. punkto sumažėjo lyginant su 2014 m. Tai buvo pirmas kartas nuo krizės, kai Lietuvoje nedarbo lygis buvo žemesnis nei 10 proc. Kaip galime matyti žemiau pateiktame paveiksle prieš krizę nedarbo lygis šalyje siekė 5,8 proc., o prasidėjus krizei smarkiai išaugo ir 2010 m. pasiekė 17,8 proc. </w:t>
      </w:r>
    </w:p>
    <w:p w:rsidR="00C33BB5" w:rsidRDefault="00180875" w:rsidP="005F463F">
      <w:r w:rsidRPr="00180875">
        <w:rPr>
          <w:noProof/>
          <w:lang w:eastAsia="lt-LT"/>
        </w:rPr>
        <w:drawing>
          <wp:inline distT="0" distB="0" distL="0" distR="0" wp14:anchorId="0FC6D105" wp14:editId="594D6AEE">
            <wp:extent cx="6331133" cy="2541181"/>
            <wp:effectExtent l="0" t="0" r="0" b="0"/>
            <wp:docPr id="7" name="Picture 7" descr="C:\Users\Tadas\Downloads\grafikas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adas\Downloads\grafikas (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65313" cy="2554900"/>
                    </a:xfrm>
                    <a:prstGeom prst="rect">
                      <a:avLst/>
                    </a:prstGeom>
                    <a:noFill/>
                    <a:ln>
                      <a:noFill/>
                    </a:ln>
                  </pic:spPr>
                </pic:pic>
              </a:graphicData>
            </a:graphic>
          </wp:inline>
        </w:drawing>
      </w:r>
    </w:p>
    <w:p w:rsidR="000A34BA" w:rsidRPr="005F463F" w:rsidRDefault="008557CA" w:rsidP="00180875">
      <w:pPr>
        <w:tabs>
          <w:tab w:val="left" w:pos="5994"/>
        </w:tabs>
        <w:jc w:val="center"/>
      </w:pPr>
      <w:r w:rsidRPr="008557CA">
        <w:rPr>
          <w:b/>
        </w:rPr>
        <w:t>5</w:t>
      </w:r>
      <w:r w:rsidR="00180875" w:rsidRPr="008557CA">
        <w:rPr>
          <w:b/>
        </w:rPr>
        <w:t xml:space="preserve"> Pav.</w:t>
      </w:r>
      <w:r w:rsidR="00180875">
        <w:t xml:space="preserve"> Nedarbo lygis Lietuvoje 2008 – 2015 m.</w:t>
      </w:r>
    </w:p>
    <w:p w:rsidR="006C59DC" w:rsidRDefault="00180875" w:rsidP="006C59DC">
      <w:pPr>
        <w:rPr>
          <w:rFonts w:eastAsia="Calibri" w:cs="Times New Roman"/>
        </w:rPr>
      </w:pPr>
      <w:r>
        <w:t xml:space="preserve">Tuo tarpu </w:t>
      </w:r>
      <w:r w:rsidR="00536383" w:rsidRPr="00536383">
        <w:rPr>
          <w:rFonts w:eastAsia="Calibri" w:cs="Times New Roman"/>
        </w:rPr>
        <w:t>Gra</w:t>
      </w:r>
      <w:r w:rsidR="00536383">
        <w:rPr>
          <w:rFonts w:eastAsia="Calibri" w:cs="Times New Roman"/>
        </w:rPr>
        <w:t>ikijos nedarbo lygis 2015 m.</w:t>
      </w:r>
      <w:r w:rsidR="00536383" w:rsidRPr="00536383">
        <w:rPr>
          <w:rFonts w:eastAsia="Calibri" w:cs="Times New Roman"/>
        </w:rPr>
        <w:t xml:space="preserve"> rugsėjo mėne</w:t>
      </w:r>
      <w:r w:rsidR="00536383">
        <w:rPr>
          <w:rFonts w:eastAsia="Calibri" w:cs="Times New Roman"/>
        </w:rPr>
        <w:t>sį šiek tiek sumažėjo iki 24,6 proc</w:t>
      </w:r>
      <w:r w:rsidR="00536383" w:rsidRPr="00536383">
        <w:rPr>
          <w:rFonts w:eastAsia="Calibri" w:cs="Times New Roman"/>
        </w:rPr>
        <w:t>. Tai buvo mažiausias ned</w:t>
      </w:r>
      <w:r w:rsidR="00536383">
        <w:rPr>
          <w:rFonts w:eastAsia="Calibri" w:cs="Times New Roman"/>
        </w:rPr>
        <w:t>arbo lygis nuo gegužės 2012 m.</w:t>
      </w:r>
      <w:r w:rsidR="00536383" w:rsidRPr="00536383">
        <w:rPr>
          <w:rFonts w:eastAsia="Calibri" w:cs="Times New Roman"/>
        </w:rPr>
        <w:t>, nes bedarbių skaičius sumažėjo, o pradėjusiųjų dirbti skaičius šiek tiek padidėjo.</w:t>
      </w:r>
      <w:r w:rsidR="00536383">
        <w:rPr>
          <w:rFonts w:eastAsia="Calibri" w:cs="Times New Roman"/>
        </w:rPr>
        <w:t xml:space="preserve"> </w:t>
      </w:r>
      <w:r w:rsidR="00536383" w:rsidRPr="00536383">
        <w:rPr>
          <w:rFonts w:eastAsia="Calibri" w:cs="Times New Roman"/>
        </w:rPr>
        <w:t>Vidutinis</w:t>
      </w:r>
      <w:r w:rsidR="00536383">
        <w:rPr>
          <w:rFonts w:eastAsia="Calibri" w:cs="Times New Roman"/>
        </w:rPr>
        <w:t xml:space="preserve"> nedarbo lygis Graikijoje 14.94 proc.</w:t>
      </w:r>
      <w:r w:rsidR="00536383" w:rsidRPr="00536383">
        <w:rPr>
          <w:rFonts w:eastAsia="Calibri" w:cs="Times New Roman"/>
        </w:rPr>
        <w:t xml:space="preserve">  nuo 1998 iki 2015 metų, pasiekė visų laikų a</w:t>
      </w:r>
      <w:r w:rsidR="00536383">
        <w:rPr>
          <w:rFonts w:eastAsia="Calibri" w:cs="Times New Roman"/>
        </w:rPr>
        <w:t>ukštumas 27.89 proc. 2013 m.</w:t>
      </w:r>
      <w:r w:rsidR="00536383" w:rsidRPr="00536383">
        <w:rPr>
          <w:rFonts w:eastAsia="Calibri" w:cs="Times New Roman"/>
        </w:rPr>
        <w:t xml:space="preserve"> </w:t>
      </w:r>
      <w:r w:rsidR="00536383">
        <w:rPr>
          <w:rFonts w:eastAsia="Calibri" w:cs="Times New Roman"/>
        </w:rPr>
        <w:t xml:space="preserve">rugsėjį </w:t>
      </w:r>
      <w:r w:rsidR="00536383" w:rsidRPr="00536383">
        <w:rPr>
          <w:rFonts w:eastAsia="Calibri" w:cs="Times New Roman"/>
        </w:rPr>
        <w:t>ir rekordišk</w:t>
      </w:r>
      <w:r w:rsidR="00536383">
        <w:rPr>
          <w:rFonts w:eastAsia="Calibri" w:cs="Times New Roman"/>
        </w:rPr>
        <w:t>ai žemo net iki 7,30 proc. 2008 m. gegužę.</w:t>
      </w:r>
    </w:p>
    <w:p w:rsidR="00C93797" w:rsidRDefault="00C93797" w:rsidP="006C59DC"/>
    <w:p w:rsidR="00C93797" w:rsidRPr="00C93797" w:rsidRDefault="00810853" w:rsidP="00810853">
      <w:pPr>
        <w:tabs>
          <w:tab w:val="left" w:pos="4320"/>
        </w:tabs>
        <w:jc w:val="center"/>
      </w:pPr>
      <w:r w:rsidRPr="00C93797">
        <w:rPr>
          <w:rFonts w:eastAsia="Calibri" w:cs="Times New Roman"/>
          <w:noProof/>
          <w:lang w:eastAsia="lt-LT"/>
        </w:rPr>
        <w:lastRenderedPageBreak/>
        <w:drawing>
          <wp:inline distT="0" distB="0" distL="0" distR="0" wp14:anchorId="5FA1B768" wp14:editId="5A05E91F">
            <wp:extent cx="6120130" cy="2850472"/>
            <wp:effectExtent l="38100" t="57150" r="109220" b="102278"/>
            <wp:docPr id="8" name="Picture 1" descr="Greece Unemployment 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ece Unemployment Rate"/>
                    <pic:cNvPicPr>
                      <a:picLocks noChangeAspect="1" noChangeArrowheads="1"/>
                    </pic:cNvPicPr>
                  </pic:nvPicPr>
                  <pic:blipFill>
                    <a:blip r:embed="rId14"/>
                    <a:srcRect/>
                    <a:stretch>
                      <a:fillRect/>
                    </a:stretch>
                  </pic:blipFill>
                  <pic:spPr bwMode="auto">
                    <a:xfrm>
                      <a:off x="0" y="0"/>
                      <a:ext cx="6120130" cy="285047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8557CA" w:rsidRPr="008557CA">
        <w:rPr>
          <w:b/>
        </w:rPr>
        <w:t>6</w:t>
      </w:r>
      <w:r w:rsidR="00C93797" w:rsidRPr="008557CA">
        <w:rPr>
          <w:b/>
        </w:rPr>
        <w:t xml:space="preserve"> Pav.</w:t>
      </w:r>
      <w:r w:rsidR="00C93797">
        <w:t xml:space="preserve"> Nedarbo lygis Graikijoje</w:t>
      </w:r>
    </w:p>
    <w:p w:rsidR="00192EB4" w:rsidRDefault="00192EB4">
      <w:pPr>
        <w:spacing w:after="160" w:line="259" w:lineRule="auto"/>
        <w:ind w:firstLine="0"/>
        <w:jc w:val="left"/>
        <w:rPr>
          <w:rFonts w:eastAsiaTheme="majorEastAsia" w:cstheme="majorBidi"/>
          <w:b/>
          <w:szCs w:val="26"/>
        </w:rPr>
      </w:pPr>
      <w:r>
        <w:br w:type="page"/>
      </w:r>
    </w:p>
    <w:p w:rsidR="00F369B9" w:rsidRDefault="0031738D" w:rsidP="00F369B9">
      <w:pPr>
        <w:pStyle w:val="Heading2"/>
      </w:pPr>
      <w:bookmarkStart w:id="14" w:name="_Toc451709422"/>
      <w:r>
        <w:lastRenderedPageBreak/>
        <w:t>Užimtumas</w:t>
      </w:r>
      <w:bookmarkEnd w:id="14"/>
    </w:p>
    <w:p w:rsidR="00F369B9" w:rsidRPr="00F369B9" w:rsidRDefault="00F369B9" w:rsidP="00F369B9">
      <w:r>
        <w:t>Užimtumo lygis Lietuvoje 2015 m. buvo 53,8 proc. visų gyventojų nuo 15 iki 65+ metų. Lyginant su ankstesnių metų statistika, užimtumo lygis kasmet auga ir jau viršino prieš krizinį lygį</w:t>
      </w:r>
      <w:r w:rsidR="004335C5">
        <w:t>, kuris, kaip ir 2014 m. buvo 52,6 proc. Taip pat šis rodiklis yra didesnis ir už Graikijos užimtumo lygį, kuris 2015 m. rugpjūčio mėnesį buvo 49,4 proc., tačiau šis sąlyginai žemas užimto lygis šalyje yra pirmą kartą per metus paaugęs užimto lygio procentas Graikijoje nuo 2008 m. Šiuo metu Graikijos užimtumo lygis yra mažiausias tarp Europos sąjungos valstybių, priešingai negu nedarbo lygis, kuris yra didžiausias.</w:t>
      </w:r>
    </w:p>
    <w:p w:rsidR="006D5ABE" w:rsidRDefault="00F369B9" w:rsidP="0031738D">
      <w:r w:rsidRPr="00F369B9">
        <w:rPr>
          <w:noProof/>
          <w:lang w:eastAsia="lt-LT"/>
        </w:rPr>
        <w:drawing>
          <wp:inline distT="0" distB="0" distL="0" distR="0">
            <wp:extent cx="6332220" cy="3317624"/>
            <wp:effectExtent l="0" t="0" r="0" b="0"/>
            <wp:docPr id="9" name="Picture 9" descr="C:\Users\Tadas\Downloads\grafikas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das\Downloads\grafikas (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32220" cy="3317624"/>
                    </a:xfrm>
                    <a:prstGeom prst="rect">
                      <a:avLst/>
                    </a:prstGeom>
                    <a:noFill/>
                    <a:ln>
                      <a:noFill/>
                    </a:ln>
                  </pic:spPr>
                </pic:pic>
              </a:graphicData>
            </a:graphic>
          </wp:inline>
        </w:drawing>
      </w:r>
    </w:p>
    <w:p w:rsidR="006D5ABE" w:rsidRDefault="008557CA" w:rsidP="008557CA">
      <w:pPr>
        <w:spacing w:after="160" w:line="259" w:lineRule="auto"/>
        <w:ind w:firstLine="0"/>
        <w:jc w:val="center"/>
      </w:pPr>
      <w:r w:rsidRPr="008557CA">
        <w:rPr>
          <w:b/>
        </w:rPr>
        <w:t>7 Pav.</w:t>
      </w:r>
      <w:r>
        <w:t xml:space="preserve"> Užimto lygis Lietuvoje</w:t>
      </w:r>
    </w:p>
    <w:p w:rsidR="006D5ABE" w:rsidRDefault="006D5ABE" w:rsidP="006D5ABE"/>
    <w:p w:rsidR="0031738D" w:rsidRDefault="006D5ABE" w:rsidP="006D5ABE">
      <w:pPr>
        <w:pStyle w:val="Heading2"/>
      </w:pPr>
      <w:bookmarkStart w:id="15" w:name="_Toc451709423"/>
      <w:r>
        <w:t>Darbo užmokestis</w:t>
      </w:r>
      <w:bookmarkEnd w:id="15"/>
    </w:p>
    <w:p w:rsidR="006D5ABE" w:rsidRDefault="006D5ABE" w:rsidP="006D5ABE">
      <w:r w:rsidRPr="006D5ABE">
        <w:t>Minimalus</w:t>
      </w:r>
      <w:r>
        <w:t xml:space="preserve"> </w:t>
      </w:r>
      <w:r w:rsidRPr="006D5ABE">
        <w:t>atlyginimas, dar žinomas kaip minimalioji</w:t>
      </w:r>
      <w:r>
        <w:t xml:space="preserve"> </w:t>
      </w:r>
      <w:r w:rsidRPr="006D5ABE">
        <w:t>mėnesinė</w:t>
      </w:r>
      <w:r>
        <w:t xml:space="preserve"> </w:t>
      </w:r>
      <w:r w:rsidRPr="006D5ABE">
        <w:t>alga</w:t>
      </w:r>
      <w:r>
        <w:t xml:space="preserve"> </w:t>
      </w:r>
      <w:r w:rsidRPr="006D5ABE">
        <w:rPr>
          <w:u w:val="single"/>
        </w:rPr>
        <w:t>(</w:t>
      </w:r>
      <w:r w:rsidRPr="006D5ABE">
        <w:t>MMA) arba minimali</w:t>
      </w:r>
      <w:r>
        <w:t xml:space="preserve"> </w:t>
      </w:r>
      <w:r w:rsidRPr="006D5ABE">
        <w:t>alga – tai pinigine suma įvertintas bei vyriausybės nustatytas dydis, kuris apibrėžia, kokią mažiausią sumą darbdavys gali mokėti darbuotojui už jo mėnesio darbą, dirbant pilną (be viršvalandžių) darbo savaitę (Lietuvoje - 40 val.).</w:t>
      </w:r>
    </w:p>
    <w:p w:rsidR="006D5ABE" w:rsidRDefault="006D5ABE" w:rsidP="006D5ABE">
      <w:r>
        <w:t>Šiuo metu Lietuvoje taikomas minimalus darbo užmokestis yra 350 eurų</w:t>
      </w:r>
      <w:r w:rsidR="00B37D39">
        <w:t xml:space="preserve"> (2,13 eurų už valandą) neatskaičius mokesčių</w:t>
      </w:r>
      <w:r>
        <w:t xml:space="preserve">, šį suma įsigaliojo nuo šių metų. Planuojama, kad nuo šių metų liepos 1d. </w:t>
      </w:r>
      <w:r>
        <w:lastRenderedPageBreak/>
        <w:t>minimalus darbo užmokestis turėtų kilti iki 380 eurų.</w:t>
      </w:r>
      <w:r w:rsidR="00B37D39">
        <w:t xml:space="preserve"> Tuo tarpu vidutinis darbo užmokestis šalyje 2015 m. trečiame ketvirty siekė 735 eurus.  </w:t>
      </w:r>
    </w:p>
    <w:p w:rsidR="006D5ABE" w:rsidRDefault="006D5ABE" w:rsidP="006D5ABE">
      <w:r>
        <w:rPr>
          <w:noProof/>
          <w:lang w:eastAsia="lt-LT"/>
        </w:rPr>
        <w:drawing>
          <wp:inline distT="0" distB="0" distL="0" distR="0" wp14:anchorId="2399F7D0" wp14:editId="64C4A2BA">
            <wp:extent cx="4635795" cy="330311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57682" cy="3318711"/>
                    </a:xfrm>
                    <a:prstGeom prst="rect">
                      <a:avLst/>
                    </a:prstGeom>
                    <a:noFill/>
                    <a:ln>
                      <a:noFill/>
                    </a:ln>
                  </pic:spPr>
                </pic:pic>
              </a:graphicData>
            </a:graphic>
          </wp:inline>
        </w:drawing>
      </w:r>
    </w:p>
    <w:p w:rsidR="00B37D39" w:rsidRDefault="008557CA" w:rsidP="008557CA">
      <w:pPr>
        <w:tabs>
          <w:tab w:val="left" w:pos="4710"/>
        </w:tabs>
        <w:jc w:val="center"/>
      </w:pPr>
      <w:r w:rsidRPr="008557CA">
        <w:rPr>
          <w:b/>
        </w:rPr>
        <w:t>8 Pav.</w:t>
      </w:r>
      <w:r>
        <w:t xml:space="preserve"> Minimalus darbo užmokestis Lietuvoje</w:t>
      </w:r>
    </w:p>
    <w:p w:rsidR="00192EB4" w:rsidRDefault="00B37D39" w:rsidP="008557CA">
      <w:r>
        <w:t xml:space="preserve">Nepaisant sudėtingos ekonominės situacijos šalyje, minimalus darbo užmokestis Graikijoje 2015 m. siekė 683,76 eurus. Ši suma yra pastovi ir nesikeičia nuo 2012 m. liepos mėnesio. Didžiausias minimalus darbo užmokestis buvo 2012 m. – 876,62 eurai, tačiau kadangi </w:t>
      </w:r>
      <w:r w:rsidR="00192EB4">
        <w:t>Graikija skęsta skolose, šis skaičius buvo sumažintas beveik 200 eurų. Vidutinis darbo užmokestis atskaičius mokesčius 2014 m. Graikijoje siekė 818 eurų.</w:t>
      </w:r>
    </w:p>
    <w:p w:rsidR="00192EB4" w:rsidRDefault="00192EB4" w:rsidP="00192EB4">
      <w:pPr>
        <w:pStyle w:val="Heading2"/>
      </w:pPr>
      <w:bookmarkStart w:id="16" w:name="_Toc451709424"/>
      <w:r>
        <w:t>Išlaidos socialinei paramai</w:t>
      </w:r>
      <w:bookmarkEnd w:id="16"/>
    </w:p>
    <w:p w:rsidR="00192EB4" w:rsidRDefault="00810853" w:rsidP="00192EB4">
      <w:r>
        <w:t xml:space="preserve">Lietuvos Respublikos </w:t>
      </w:r>
      <w:r w:rsidR="00192EB4" w:rsidRPr="00192EB4">
        <w:t xml:space="preserve">Socialinės apsaugos ir darbo ministerija pranešė, kad vidutiniškai per vieną šių metų pirmojo ketvirčio mėnesį socialinę pašalpą gavo 125,1 tūkst. asmenų (4,3 proc. visų Lietuvos gyventojų). Palyginti su praėjusių metų pirmuoju ketvirčiu, vidutiniškai per mėnesį socialinę pašalpą gavusių asmenų skaičius sumažėjo 25,8 proc. (nuo 168,5 iki 125,1 tūkst. asmenų), o išlaidos pašalpai mokėti sumažėjo 30,6 proc. (nuo 32 iki 22,2 mln. eurų). </w:t>
      </w:r>
    </w:p>
    <w:p w:rsidR="00192EB4" w:rsidRDefault="00192EB4" w:rsidP="00192EB4">
      <w:r w:rsidRPr="00192EB4">
        <w:t xml:space="preserve">Būsto šildymo, karšto ir geriamojo vandens išlaidų kompensacijoms per šių metų pirmąjį ketvirtį išleista 31,9 proc. mažiau lėšų nei per 2014 metų pirmąjį ketvirtį – išlaidos sumažėjo nuo 16,9 mln. eurų iki 11,5 mln. eurų. Vidutiniškai per vieną šių metų pirmojo ketvirčio šildymo sezono mėnesį </w:t>
      </w:r>
      <w:r w:rsidRPr="00192EB4">
        <w:lastRenderedPageBreak/>
        <w:t>kompensacijas gavo 144,1 tūkst. asmenų (5 proc. visų Lietuvos gyventojų), o atitink</w:t>
      </w:r>
      <w:r>
        <w:t xml:space="preserve">amą praėjusių metų laikotarpį – vidutiniškai 192,9 tūkst. </w:t>
      </w:r>
      <w:r w:rsidRPr="00192EB4">
        <w:t>asmenų.</w:t>
      </w:r>
    </w:p>
    <w:p w:rsidR="001D27A2" w:rsidRDefault="005850C5" w:rsidP="00192EB4">
      <w:r>
        <w:t xml:space="preserve">Tuo tarpu, nepaisant šalies sunkumų Graikija šiuo metu yra viena didžiausių pabėgėlių stovyklų Europoje. Natūralu, kad dauguma Graikijai skirtų pinigų yra išleidžiama pabėgėlių apgyvendinimui. </w:t>
      </w:r>
      <w:r w:rsidR="001D27A2">
        <w:t xml:space="preserve">Skelbiama, kad iš 2016 m. Graikijai skirtų 80 mln. eurų, dauguma buvo išleista būtent tam. </w:t>
      </w:r>
      <w:r w:rsidR="001D27A2" w:rsidRPr="001D27A2">
        <w:t>Jungtinių Tautų pabėgėlių agentūra pabėgėlių krizės ištiktoms šalims iš fondo prašė 235 milijonų eurų, tačiau kol kas sutarta tik dėl 109,5 mln. eurų sumos.</w:t>
      </w:r>
    </w:p>
    <w:p w:rsidR="001D27A2" w:rsidRDefault="001D27A2">
      <w:pPr>
        <w:spacing w:after="160" w:line="259" w:lineRule="auto"/>
        <w:ind w:firstLine="0"/>
        <w:jc w:val="left"/>
      </w:pPr>
      <w:r>
        <w:br w:type="page"/>
      </w:r>
    </w:p>
    <w:p w:rsidR="00810853" w:rsidRDefault="001D27A2" w:rsidP="001D27A2">
      <w:pPr>
        <w:pStyle w:val="Heading1"/>
      </w:pPr>
      <w:bookmarkStart w:id="17" w:name="_Toc451709425"/>
      <w:r>
        <w:lastRenderedPageBreak/>
        <w:t>Išvados</w:t>
      </w:r>
      <w:bookmarkEnd w:id="17"/>
    </w:p>
    <w:p w:rsidR="001D27A2" w:rsidRDefault="00A94B9D" w:rsidP="001D27A2">
      <w:r>
        <w:t xml:space="preserve">Šiame namų darbe, buvo atlikta Lietuvos ir Graikijos ekonominių rodiklių lyginamoji analizė. Darbe buvo analizuojami šalių BVP, nedarbo lygis, valstybių skolos ir investicijos. </w:t>
      </w:r>
    </w:p>
    <w:p w:rsidR="00A94B9D" w:rsidRDefault="00A94B9D" w:rsidP="001D27A2">
      <w:r>
        <w:t xml:space="preserve">Šiuo metu Lietuva išgyvena pakankamai neblogą ekonominį laikotarpį: didėjantis BVP bei minimalus darbo užmokestis, mažėjantis nedarbo lygis augantis užsienio investuotojų skaičius, sukuria neblogas galimybes Lietuvai vystytis. Tačiau nepaisant to, Europos šalių kontekste Lietuva vis dar yra prie tų šalių, kuriose šie ekonominiai rodikliai yra mažiausi. </w:t>
      </w:r>
    </w:p>
    <w:p w:rsidR="00A94B9D" w:rsidRDefault="00A94B9D" w:rsidP="001D27A2">
      <w:r>
        <w:t xml:space="preserve">Tuo tarpu Graikija išgyvena itin sunkų laikotarpį. Nedarbo lygis Graikijoje muša rekordus, valstybės skola siekia 175 proc. bendrojo vidaus produkto. Nepaisant to, Graikija turi tvarkytis su pabėgėliais iš Sirijos, kurie šiuo metu labai aktyviai juda į Europą. Graikija </w:t>
      </w:r>
      <w:r w:rsidR="007A692E">
        <w:t>vis dar išgyvena krizę, ko pasekoje Graikijos ekonomika nesivysto, o tik bando atsigauti ir pasiekti tokį lygy, kokiame buvo iki krizės. Tačiau ne visi ekonominiai rodikliai Graikijoje yra prasti. Minimalus darbo užmokestis yra daugiau nei 2 kartus didesnis nei Lietuvoje, BVP tenkantis vienam gyventojui taip pat yra dvigubai didesnis, taigi nors Graikija išgyvena ne pačius geriausius laikus, priešingai nei Lietuva, tačiau yra sričių, kuriose mes dar turime vytis Graikiją.</w:t>
      </w:r>
    </w:p>
    <w:p w:rsidR="007A692E" w:rsidRDefault="007A692E">
      <w:pPr>
        <w:spacing w:after="160" w:line="259" w:lineRule="auto"/>
        <w:ind w:firstLine="0"/>
        <w:jc w:val="left"/>
      </w:pPr>
      <w:r>
        <w:br w:type="page"/>
      </w:r>
    </w:p>
    <w:p w:rsidR="007A692E" w:rsidRDefault="007A692E" w:rsidP="007A692E">
      <w:pPr>
        <w:pStyle w:val="Heading1"/>
      </w:pPr>
      <w:bookmarkStart w:id="18" w:name="_Toc451709426"/>
      <w:r>
        <w:lastRenderedPageBreak/>
        <w:t>Literatūros sąrašas</w:t>
      </w:r>
      <w:bookmarkEnd w:id="18"/>
    </w:p>
    <w:p w:rsidR="007A692E" w:rsidRDefault="005D03F1" w:rsidP="007A692E">
      <w:pPr>
        <w:pStyle w:val="ListParagraph"/>
        <w:numPr>
          <w:ilvl w:val="0"/>
          <w:numId w:val="2"/>
        </w:numPr>
      </w:pPr>
      <w:hyperlink r:id="rId17" w:history="1">
        <w:r w:rsidR="007A692E" w:rsidRPr="00D572C1">
          <w:rPr>
            <w:rStyle w:val="Hyperlink"/>
          </w:rPr>
          <w:t>https://www.lb.lt/makroekonomines_prognozes</w:t>
        </w:r>
      </w:hyperlink>
      <w:r w:rsidR="007A692E">
        <w:t xml:space="preserve"> [žiūrėta 2016 05 21]</w:t>
      </w:r>
    </w:p>
    <w:p w:rsidR="007A692E" w:rsidRDefault="005D03F1" w:rsidP="007A692E">
      <w:pPr>
        <w:pStyle w:val="ListParagraph"/>
        <w:numPr>
          <w:ilvl w:val="0"/>
          <w:numId w:val="2"/>
        </w:numPr>
      </w:pPr>
      <w:hyperlink r:id="rId18" w:history="1">
        <w:r w:rsidR="007A692E" w:rsidRPr="00D572C1">
          <w:rPr>
            <w:rStyle w:val="Hyperlink"/>
          </w:rPr>
          <w:t>http://www.focus-economics.com/countries/greece</w:t>
        </w:r>
      </w:hyperlink>
      <w:r w:rsidR="007A692E">
        <w:t xml:space="preserve"> [žiūrėta 2016 05 21]</w:t>
      </w:r>
    </w:p>
    <w:p w:rsidR="007A692E" w:rsidRDefault="005D03F1" w:rsidP="007A692E">
      <w:pPr>
        <w:pStyle w:val="ListParagraph"/>
        <w:numPr>
          <w:ilvl w:val="0"/>
          <w:numId w:val="2"/>
        </w:numPr>
      </w:pPr>
      <w:hyperlink r:id="rId19" w:history="1">
        <w:r w:rsidR="007A692E" w:rsidRPr="00D572C1">
          <w:rPr>
            <w:rStyle w:val="Hyperlink"/>
          </w:rPr>
          <w:t>http://vz.lt/verslo-aplinka/2016/01/29/lietuvos-bvp-pernai-paaugo-17</w:t>
        </w:r>
      </w:hyperlink>
      <w:r w:rsidR="007A692E">
        <w:t>[žiūrėta 2016 05 21]</w:t>
      </w:r>
    </w:p>
    <w:p w:rsidR="007A692E" w:rsidRDefault="005D03F1" w:rsidP="007A692E">
      <w:pPr>
        <w:pStyle w:val="ListParagraph"/>
        <w:numPr>
          <w:ilvl w:val="0"/>
          <w:numId w:val="2"/>
        </w:numPr>
      </w:pPr>
      <w:hyperlink r:id="rId20" w:history="1">
        <w:r w:rsidR="007A692E" w:rsidRPr="00D572C1">
          <w:rPr>
            <w:rStyle w:val="Hyperlink"/>
          </w:rPr>
          <w:t>http://osp.stat.gov.lt/statistiniu-rodikliu-analize?id=8443&amp;status=A</w:t>
        </w:r>
      </w:hyperlink>
      <w:r w:rsidR="007A692E">
        <w:t xml:space="preserve"> [žiūrėta 2016 05 21]</w:t>
      </w:r>
    </w:p>
    <w:p w:rsidR="007A692E" w:rsidRDefault="005D03F1" w:rsidP="007A692E">
      <w:pPr>
        <w:pStyle w:val="ListParagraph"/>
        <w:numPr>
          <w:ilvl w:val="0"/>
          <w:numId w:val="2"/>
        </w:numPr>
      </w:pPr>
      <w:hyperlink r:id="rId21" w:history="1">
        <w:r w:rsidR="007A692E" w:rsidRPr="00D572C1">
          <w:rPr>
            <w:rStyle w:val="Hyperlink"/>
          </w:rPr>
          <w:t>http://eur-lex.europa.eu/legal-content/lt/TXT/PDF/?uri=COM:2015:400:FIN</w:t>
        </w:r>
      </w:hyperlink>
      <w:r w:rsidR="007A692E">
        <w:t xml:space="preserve"> </w:t>
      </w:r>
    </w:p>
    <w:p w:rsidR="007A692E" w:rsidRDefault="007A692E" w:rsidP="007A692E">
      <w:pPr>
        <w:pStyle w:val="ListParagraph"/>
        <w:ind w:left="1117" w:firstLine="0"/>
      </w:pPr>
      <w:r>
        <w:t>[žiūrėta 2016 05 21]</w:t>
      </w:r>
    </w:p>
    <w:p w:rsidR="007A692E" w:rsidRDefault="005D03F1" w:rsidP="007A692E">
      <w:pPr>
        <w:pStyle w:val="ListParagraph"/>
        <w:numPr>
          <w:ilvl w:val="0"/>
          <w:numId w:val="2"/>
        </w:numPr>
      </w:pPr>
      <w:hyperlink r:id="rId22" w:history="1">
        <w:r w:rsidR="007A692E" w:rsidRPr="00D572C1">
          <w:rPr>
            <w:rStyle w:val="Hyperlink"/>
          </w:rPr>
          <w:t>http://www.lb.lt/tiesiogines_investicijos_2015_m</w:t>
        </w:r>
      </w:hyperlink>
      <w:r w:rsidR="007A692E">
        <w:t xml:space="preserve"> [žiūrėta 2016 05 22]</w:t>
      </w:r>
    </w:p>
    <w:p w:rsidR="007A692E" w:rsidRDefault="005D03F1" w:rsidP="007A692E">
      <w:pPr>
        <w:pStyle w:val="ListParagraph"/>
        <w:numPr>
          <w:ilvl w:val="0"/>
          <w:numId w:val="2"/>
        </w:numPr>
      </w:pPr>
      <w:hyperlink r:id="rId23" w:history="1">
        <w:r w:rsidR="007A692E" w:rsidRPr="00D572C1">
          <w:rPr>
            <w:rStyle w:val="Hyperlink"/>
          </w:rPr>
          <w:t>https://www.european-agency.org/country-information/greece/national-overview/financing</w:t>
        </w:r>
      </w:hyperlink>
      <w:r w:rsidR="007A692E">
        <w:t xml:space="preserve"> [žiūrėta 2016 05 22]</w:t>
      </w:r>
    </w:p>
    <w:p w:rsidR="007A692E" w:rsidRPr="007A692E" w:rsidRDefault="005D03F1" w:rsidP="007A692E">
      <w:pPr>
        <w:pStyle w:val="ListParagraph"/>
        <w:numPr>
          <w:ilvl w:val="0"/>
          <w:numId w:val="2"/>
        </w:numPr>
        <w:rPr>
          <w:lang w:val="en-US"/>
        </w:rPr>
      </w:pPr>
      <w:hyperlink r:id="rId24" w:history="1">
        <w:r w:rsidR="007A692E" w:rsidRPr="007A692E">
          <w:rPr>
            <w:rStyle w:val="Hyperlink"/>
            <w:lang w:val="en-US"/>
          </w:rPr>
          <w:t>http://www.imf.org/external/datamapper/index.php</w:t>
        </w:r>
      </w:hyperlink>
      <w:r w:rsidR="007A692E">
        <w:t xml:space="preserve"> [žiūrėta 2016 05 22]</w:t>
      </w:r>
    </w:p>
    <w:p w:rsidR="007A692E" w:rsidRPr="007A692E" w:rsidRDefault="005D03F1" w:rsidP="007A692E">
      <w:pPr>
        <w:pStyle w:val="ListParagraph"/>
        <w:numPr>
          <w:ilvl w:val="0"/>
          <w:numId w:val="2"/>
        </w:numPr>
        <w:rPr>
          <w:lang w:val="en-US"/>
        </w:rPr>
      </w:pPr>
      <w:hyperlink r:id="rId25" w:history="1">
        <w:r w:rsidR="007A692E" w:rsidRPr="007A692E">
          <w:rPr>
            <w:rStyle w:val="Hyperlink"/>
            <w:lang w:val="en-US"/>
          </w:rPr>
          <w:t>http://epp.eurostat.ec.europa.eu/</w:t>
        </w:r>
      </w:hyperlink>
      <w:r w:rsidR="007A692E">
        <w:rPr>
          <w:lang w:val="en-US"/>
        </w:rPr>
        <w:t xml:space="preserve"> </w:t>
      </w:r>
      <w:r w:rsidR="007A692E">
        <w:t>[žiūrėta 2016 05 22]</w:t>
      </w:r>
    </w:p>
    <w:p w:rsidR="007A692E" w:rsidRDefault="007A692E" w:rsidP="007A692E">
      <w:pPr>
        <w:pStyle w:val="ListParagraph"/>
        <w:ind w:left="1117" w:firstLine="0"/>
      </w:pPr>
    </w:p>
    <w:p w:rsidR="007A692E" w:rsidRPr="007A692E" w:rsidRDefault="007A692E" w:rsidP="007A692E">
      <w:pPr>
        <w:pStyle w:val="ListParagraph"/>
        <w:ind w:left="1117" w:firstLine="0"/>
      </w:pPr>
    </w:p>
    <w:sectPr w:rsidR="007A692E" w:rsidRPr="007A692E" w:rsidSect="008557CA">
      <w:headerReference w:type="default" r:id="rId26"/>
      <w:footerReference w:type="default" r:id="rId27"/>
      <w:pgSz w:w="12240" w:h="15840"/>
      <w:pgMar w:top="1701"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3F1" w:rsidRDefault="005D03F1" w:rsidP="008557CA">
      <w:pPr>
        <w:spacing w:after="0" w:line="240" w:lineRule="auto"/>
      </w:pPr>
      <w:r>
        <w:separator/>
      </w:r>
    </w:p>
  </w:endnote>
  <w:endnote w:type="continuationSeparator" w:id="0">
    <w:p w:rsidR="005D03F1" w:rsidRDefault="005D03F1" w:rsidP="00855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3619235"/>
      <w:docPartObj>
        <w:docPartGallery w:val="Page Numbers (Bottom of Page)"/>
        <w:docPartUnique/>
      </w:docPartObj>
    </w:sdtPr>
    <w:sdtEndPr>
      <w:rPr>
        <w:noProof/>
      </w:rPr>
    </w:sdtEndPr>
    <w:sdtContent>
      <w:p w:rsidR="008557CA" w:rsidRDefault="008557CA">
        <w:pPr>
          <w:pStyle w:val="Footer"/>
          <w:jc w:val="center"/>
        </w:pPr>
        <w:r>
          <w:fldChar w:fldCharType="begin"/>
        </w:r>
        <w:r>
          <w:instrText xml:space="preserve"> PAGE   \* MERGEFORMAT </w:instrText>
        </w:r>
        <w:r>
          <w:fldChar w:fldCharType="separate"/>
        </w:r>
        <w:r w:rsidR="00E458CD">
          <w:rPr>
            <w:noProof/>
          </w:rPr>
          <w:t>2</w:t>
        </w:r>
        <w:r>
          <w:rPr>
            <w:noProof/>
          </w:rPr>
          <w:fldChar w:fldCharType="end"/>
        </w:r>
      </w:p>
    </w:sdtContent>
  </w:sdt>
  <w:p w:rsidR="008557CA" w:rsidRDefault="008557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3F1" w:rsidRDefault="005D03F1" w:rsidP="008557CA">
      <w:pPr>
        <w:spacing w:after="0" w:line="240" w:lineRule="auto"/>
      </w:pPr>
      <w:r>
        <w:separator/>
      </w:r>
    </w:p>
  </w:footnote>
  <w:footnote w:type="continuationSeparator" w:id="0">
    <w:p w:rsidR="005D03F1" w:rsidRDefault="005D03F1" w:rsidP="008557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7CA" w:rsidRDefault="008557CA" w:rsidP="008557CA">
    <w:pPr>
      <w:pStyle w:val="Header"/>
      <w:jc w:val="right"/>
    </w:pPr>
    <w:r>
      <w:t>Vilniaus Gedimino technikos universitetas</w:t>
    </w:r>
  </w:p>
  <w:p w:rsidR="008557CA" w:rsidRDefault="008557CA" w:rsidP="00E458C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177F3"/>
    <w:multiLevelType w:val="hybridMultilevel"/>
    <w:tmpl w:val="D5E2CA90"/>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 w15:restartNumberingAfterBreak="0">
    <w:nsid w:val="282C5112"/>
    <w:multiLevelType w:val="hybridMultilevel"/>
    <w:tmpl w:val="E51CF3A2"/>
    <w:lvl w:ilvl="0" w:tplc="0409000F">
      <w:start w:val="1"/>
      <w:numFmt w:val="decimal"/>
      <w:lvlText w:val="%1."/>
      <w:lvlJc w:val="left"/>
      <w:pPr>
        <w:ind w:left="1117" w:hanging="360"/>
      </w:pPr>
      <w:rPr>
        <w:rFonts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2" w15:restartNumberingAfterBreak="0">
    <w:nsid w:val="31BD4F7B"/>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B48"/>
    <w:rsid w:val="000A34BA"/>
    <w:rsid w:val="00120E94"/>
    <w:rsid w:val="0016751C"/>
    <w:rsid w:val="001752A6"/>
    <w:rsid w:val="00180875"/>
    <w:rsid w:val="00192EB4"/>
    <w:rsid w:val="001936EB"/>
    <w:rsid w:val="001B792F"/>
    <w:rsid w:val="001D27A2"/>
    <w:rsid w:val="002743AE"/>
    <w:rsid w:val="002A5DD8"/>
    <w:rsid w:val="002C6614"/>
    <w:rsid w:val="0031738D"/>
    <w:rsid w:val="004335C5"/>
    <w:rsid w:val="00456509"/>
    <w:rsid w:val="00536383"/>
    <w:rsid w:val="005850C5"/>
    <w:rsid w:val="005D03F1"/>
    <w:rsid w:val="005F463F"/>
    <w:rsid w:val="00661B9E"/>
    <w:rsid w:val="006C59DC"/>
    <w:rsid w:val="006C5C73"/>
    <w:rsid w:val="006D5ABE"/>
    <w:rsid w:val="00771EDD"/>
    <w:rsid w:val="00792056"/>
    <w:rsid w:val="007A692E"/>
    <w:rsid w:val="007C50DB"/>
    <w:rsid w:val="00810853"/>
    <w:rsid w:val="00846FC3"/>
    <w:rsid w:val="008557CA"/>
    <w:rsid w:val="008C2849"/>
    <w:rsid w:val="008D6AFB"/>
    <w:rsid w:val="00A24D7F"/>
    <w:rsid w:val="00A94B9D"/>
    <w:rsid w:val="00AA36E5"/>
    <w:rsid w:val="00AD19CF"/>
    <w:rsid w:val="00B37D39"/>
    <w:rsid w:val="00C1249B"/>
    <w:rsid w:val="00C33BB5"/>
    <w:rsid w:val="00C93797"/>
    <w:rsid w:val="00CC7911"/>
    <w:rsid w:val="00DB4B48"/>
    <w:rsid w:val="00E458CD"/>
    <w:rsid w:val="00F36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4826F4-7AE7-4A7D-A9B4-26899C6B8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849"/>
    <w:pPr>
      <w:spacing w:after="120" w:line="360" w:lineRule="auto"/>
      <w:ind w:firstLine="397"/>
      <w:jc w:val="both"/>
    </w:pPr>
    <w:rPr>
      <w:rFonts w:ascii="Times New Roman" w:hAnsi="Times New Roman"/>
      <w:sz w:val="24"/>
      <w:lang w:val="lt-LT"/>
    </w:rPr>
  </w:style>
  <w:style w:type="paragraph" w:styleId="Heading1">
    <w:name w:val="heading 1"/>
    <w:basedOn w:val="Normal"/>
    <w:next w:val="Normal"/>
    <w:link w:val="Heading1Char"/>
    <w:uiPriority w:val="9"/>
    <w:qFormat/>
    <w:rsid w:val="00DB4B48"/>
    <w:pPr>
      <w:keepNext/>
      <w:keepLines/>
      <w:numPr>
        <w:numId w:val="3"/>
      </w:numPr>
      <w:spacing w:before="240" w:after="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A24D7F"/>
    <w:pPr>
      <w:keepNext/>
      <w:keepLines/>
      <w:numPr>
        <w:ilvl w:val="1"/>
        <w:numId w:val="3"/>
      </w:numPr>
      <w:spacing w:before="40" w:after="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2743AE"/>
    <w:pPr>
      <w:keepNext/>
      <w:keepLines/>
      <w:numPr>
        <w:ilvl w:val="2"/>
        <w:numId w:val="3"/>
      </w:numPr>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qFormat/>
    <w:rsid w:val="002743AE"/>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2743AE"/>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743AE"/>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743AE"/>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743AE"/>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743AE"/>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4B48"/>
    <w:rPr>
      <w:rFonts w:ascii="Times New Roman" w:eastAsiaTheme="majorEastAsia" w:hAnsi="Times New Roman" w:cstheme="majorBidi"/>
      <w:b/>
      <w:sz w:val="28"/>
      <w:szCs w:val="32"/>
      <w:lang w:val="lt-LT"/>
    </w:rPr>
  </w:style>
  <w:style w:type="character" w:customStyle="1" w:styleId="Heading2Char">
    <w:name w:val="Heading 2 Char"/>
    <w:basedOn w:val="DefaultParagraphFont"/>
    <w:link w:val="Heading2"/>
    <w:uiPriority w:val="9"/>
    <w:rsid w:val="00A24D7F"/>
    <w:rPr>
      <w:rFonts w:ascii="Times New Roman" w:eastAsiaTheme="majorEastAsia" w:hAnsi="Times New Roman" w:cstheme="majorBidi"/>
      <w:b/>
      <w:sz w:val="24"/>
      <w:szCs w:val="26"/>
      <w:lang w:val="lt-LT"/>
    </w:rPr>
  </w:style>
  <w:style w:type="character" w:styleId="Hyperlink">
    <w:name w:val="Hyperlink"/>
    <w:basedOn w:val="DefaultParagraphFont"/>
    <w:uiPriority w:val="99"/>
    <w:unhideWhenUsed/>
    <w:rsid w:val="006C5C73"/>
    <w:rPr>
      <w:color w:val="0000FF"/>
      <w:u w:val="single"/>
    </w:rPr>
  </w:style>
  <w:style w:type="character" w:customStyle="1" w:styleId="apple-converted-space">
    <w:name w:val="apple-converted-space"/>
    <w:basedOn w:val="DefaultParagraphFont"/>
    <w:rsid w:val="006C5C73"/>
  </w:style>
  <w:style w:type="paragraph" w:styleId="ListParagraph">
    <w:name w:val="List Paragraph"/>
    <w:basedOn w:val="Normal"/>
    <w:uiPriority w:val="34"/>
    <w:qFormat/>
    <w:rsid w:val="00C93797"/>
    <w:pPr>
      <w:ind w:left="720"/>
      <w:contextualSpacing/>
    </w:pPr>
  </w:style>
  <w:style w:type="paragraph" w:styleId="TOCHeading">
    <w:name w:val="TOC Heading"/>
    <w:basedOn w:val="Heading1"/>
    <w:next w:val="Normal"/>
    <w:uiPriority w:val="39"/>
    <w:unhideWhenUsed/>
    <w:qFormat/>
    <w:rsid w:val="001D27A2"/>
    <w:pPr>
      <w:spacing w:line="259" w:lineRule="auto"/>
      <w:ind w:firstLine="0"/>
      <w:jc w:val="left"/>
      <w:outlineLvl w:val="9"/>
    </w:pPr>
    <w:rPr>
      <w:rFonts w:asciiTheme="majorHAnsi" w:hAnsiTheme="majorHAnsi"/>
      <w:b w:val="0"/>
      <w:color w:val="2E74B5" w:themeColor="accent1" w:themeShade="BF"/>
      <w:sz w:val="32"/>
      <w:lang w:val="en-US"/>
    </w:rPr>
  </w:style>
  <w:style w:type="paragraph" w:styleId="TOC1">
    <w:name w:val="toc 1"/>
    <w:basedOn w:val="Normal"/>
    <w:next w:val="Normal"/>
    <w:autoRedefine/>
    <w:uiPriority w:val="39"/>
    <w:unhideWhenUsed/>
    <w:rsid w:val="001D27A2"/>
    <w:pPr>
      <w:spacing w:after="100"/>
    </w:pPr>
  </w:style>
  <w:style w:type="paragraph" w:styleId="TOC2">
    <w:name w:val="toc 2"/>
    <w:basedOn w:val="Normal"/>
    <w:next w:val="Normal"/>
    <w:autoRedefine/>
    <w:uiPriority w:val="39"/>
    <w:unhideWhenUsed/>
    <w:rsid w:val="001D27A2"/>
    <w:pPr>
      <w:spacing w:after="100"/>
      <w:ind w:left="240"/>
    </w:pPr>
  </w:style>
  <w:style w:type="paragraph" w:styleId="Header">
    <w:name w:val="header"/>
    <w:basedOn w:val="Normal"/>
    <w:link w:val="HeaderChar"/>
    <w:uiPriority w:val="99"/>
    <w:unhideWhenUsed/>
    <w:rsid w:val="008557CA"/>
    <w:pPr>
      <w:tabs>
        <w:tab w:val="center" w:pos="4986"/>
        <w:tab w:val="right" w:pos="9972"/>
      </w:tabs>
      <w:spacing w:after="0" w:line="240" w:lineRule="auto"/>
    </w:pPr>
  </w:style>
  <w:style w:type="character" w:customStyle="1" w:styleId="HeaderChar">
    <w:name w:val="Header Char"/>
    <w:basedOn w:val="DefaultParagraphFont"/>
    <w:link w:val="Header"/>
    <w:uiPriority w:val="99"/>
    <w:rsid w:val="008557CA"/>
    <w:rPr>
      <w:rFonts w:ascii="Times New Roman" w:hAnsi="Times New Roman"/>
      <w:sz w:val="24"/>
      <w:lang w:val="lt-LT"/>
    </w:rPr>
  </w:style>
  <w:style w:type="paragraph" w:styleId="Footer">
    <w:name w:val="footer"/>
    <w:basedOn w:val="Normal"/>
    <w:link w:val="FooterChar"/>
    <w:uiPriority w:val="99"/>
    <w:unhideWhenUsed/>
    <w:rsid w:val="008557CA"/>
    <w:pPr>
      <w:tabs>
        <w:tab w:val="center" w:pos="4986"/>
        <w:tab w:val="right" w:pos="9972"/>
      </w:tabs>
      <w:spacing w:after="0" w:line="240" w:lineRule="auto"/>
    </w:pPr>
  </w:style>
  <w:style w:type="character" w:customStyle="1" w:styleId="FooterChar">
    <w:name w:val="Footer Char"/>
    <w:basedOn w:val="DefaultParagraphFont"/>
    <w:link w:val="Footer"/>
    <w:uiPriority w:val="99"/>
    <w:rsid w:val="008557CA"/>
    <w:rPr>
      <w:rFonts w:ascii="Times New Roman" w:hAnsi="Times New Roman"/>
      <w:sz w:val="24"/>
      <w:lang w:val="lt-LT"/>
    </w:rPr>
  </w:style>
  <w:style w:type="character" w:customStyle="1" w:styleId="Heading3Char">
    <w:name w:val="Heading 3 Char"/>
    <w:basedOn w:val="DefaultParagraphFont"/>
    <w:link w:val="Heading3"/>
    <w:uiPriority w:val="9"/>
    <w:semiHidden/>
    <w:rsid w:val="002743AE"/>
    <w:rPr>
      <w:rFonts w:asciiTheme="majorHAnsi" w:eastAsiaTheme="majorEastAsia" w:hAnsiTheme="majorHAnsi" w:cstheme="majorBidi"/>
      <w:color w:val="1F4D78" w:themeColor="accent1" w:themeShade="7F"/>
      <w:sz w:val="24"/>
      <w:szCs w:val="24"/>
      <w:lang w:val="lt-LT"/>
    </w:rPr>
  </w:style>
  <w:style w:type="character" w:customStyle="1" w:styleId="Heading4Char">
    <w:name w:val="Heading 4 Char"/>
    <w:basedOn w:val="DefaultParagraphFont"/>
    <w:link w:val="Heading4"/>
    <w:uiPriority w:val="9"/>
    <w:semiHidden/>
    <w:rsid w:val="002743AE"/>
    <w:rPr>
      <w:rFonts w:asciiTheme="majorHAnsi" w:eastAsiaTheme="majorEastAsia" w:hAnsiTheme="majorHAnsi" w:cstheme="majorBidi"/>
      <w:i/>
      <w:iCs/>
      <w:color w:val="2E74B5" w:themeColor="accent1" w:themeShade="BF"/>
      <w:sz w:val="24"/>
      <w:lang w:val="lt-LT"/>
    </w:rPr>
  </w:style>
  <w:style w:type="character" w:customStyle="1" w:styleId="Heading5Char">
    <w:name w:val="Heading 5 Char"/>
    <w:basedOn w:val="DefaultParagraphFont"/>
    <w:link w:val="Heading5"/>
    <w:uiPriority w:val="9"/>
    <w:semiHidden/>
    <w:rsid w:val="002743AE"/>
    <w:rPr>
      <w:rFonts w:asciiTheme="majorHAnsi" w:eastAsiaTheme="majorEastAsia" w:hAnsiTheme="majorHAnsi" w:cstheme="majorBidi"/>
      <w:color w:val="2E74B5" w:themeColor="accent1" w:themeShade="BF"/>
      <w:sz w:val="24"/>
      <w:lang w:val="lt-LT"/>
    </w:rPr>
  </w:style>
  <w:style w:type="character" w:customStyle="1" w:styleId="Heading6Char">
    <w:name w:val="Heading 6 Char"/>
    <w:basedOn w:val="DefaultParagraphFont"/>
    <w:link w:val="Heading6"/>
    <w:uiPriority w:val="9"/>
    <w:semiHidden/>
    <w:rsid w:val="002743AE"/>
    <w:rPr>
      <w:rFonts w:asciiTheme="majorHAnsi" w:eastAsiaTheme="majorEastAsia" w:hAnsiTheme="majorHAnsi" w:cstheme="majorBidi"/>
      <w:color w:val="1F4D78" w:themeColor="accent1" w:themeShade="7F"/>
      <w:sz w:val="24"/>
      <w:lang w:val="lt-LT"/>
    </w:rPr>
  </w:style>
  <w:style w:type="character" w:customStyle="1" w:styleId="Heading7Char">
    <w:name w:val="Heading 7 Char"/>
    <w:basedOn w:val="DefaultParagraphFont"/>
    <w:link w:val="Heading7"/>
    <w:uiPriority w:val="9"/>
    <w:semiHidden/>
    <w:rsid w:val="002743AE"/>
    <w:rPr>
      <w:rFonts w:asciiTheme="majorHAnsi" w:eastAsiaTheme="majorEastAsia" w:hAnsiTheme="majorHAnsi" w:cstheme="majorBidi"/>
      <w:i/>
      <w:iCs/>
      <w:color w:val="1F4D78" w:themeColor="accent1" w:themeShade="7F"/>
      <w:sz w:val="24"/>
      <w:lang w:val="lt-LT"/>
    </w:rPr>
  </w:style>
  <w:style w:type="character" w:customStyle="1" w:styleId="Heading8Char">
    <w:name w:val="Heading 8 Char"/>
    <w:basedOn w:val="DefaultParagraphFont"/>
    <w:link w:val="Heading8"/>
    <w:uiPriority w:val="9"/>
    <w:semiHidden/>
    <w:rsid w:val="002743AE"/>
    <w:rPr>
      <w:rFonts w:asciiTheme="majorHAnsi" w:eastAsiaTheme="majorEastAsia" w:hAnsiTheme="majorHAnsi" w:cstheme="majorBidi"/>
      <w:color w:val="272727" w:themeColor="text1" w:themeTint="D8"/>
      <w:sz w:val="21"/>
      <w:szCs w:val="21"/>
      <w:lang w:val="lt-LT"/>
    </w:rPr>
  </w:style>
  <w:style w:type="character" w:customStyle="1" w:styleId="Heading9Char">
    <w:name w:val="Heading 9 Char"/>
    <w:basedOn w:val="DefaultParagraphFont"/>
    <w:link w:val="Heading9"/>
    <w:uiPriority w:val="9"/>
    <w:semiHidden/>
    <w:rsid w:val="002743AE"/>
    <w:rPr>
      <w:rFonts w:asciiTheme="majorHAnsi" w:eastAsiaTheme="majorEastAsia" w:hAnsiTheme="majorHAnsi" w:cstheme="majorBidi"/>
      <w:i/>
      <w:iCs/>
      <w:color w:val="272727" w:themeColor="text1" w:themeTint="D8"/>
      <w:sz w:val="21"/>
      <w:szCs w:val="21"/>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089307">
      <w:bodyDiv w:val="1"/>
      <w:marLeft w:val="0"/>
      <w:marRight w:val="0"/>
      <w:marTop w:val="0"/>
      <w:marBottom w:val="0"/>
      <w:divBdr>
        <w:top w:val="none" w:sz="0" w:space="0" w:color="auto"/>
        <w:left w:val="none" w:sz="0" w:space="0" w:color="auto"/>
        <w:bottom w:val="none" w:sz="0" w:space="0" w:color="auto"/>
        <w:right w:val="none" w:sz="0" w:space="0" w:color="auto"/>
      </w:divBdr>
    </w:div>
    <w:div w:id="192062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focus-economics.com/countries/greec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eur-lex.europa.eu/legal-content/lt/TXT/PDF/?uri=COM:2015:400:FIN"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lb.lt/makroekonomines_prognozes" TargetMode="External"/><Relationship Id="rId25" Type="http://schemas.openxmlformats.org/officeDocument/2006/relationships/hyperlink" Target="http://epp.eurostat.ec.europa.eu/"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osp.stat.gov.lt/statistiniu-rodikliu-analize?id=8443&amp;status=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imf.org/external/datamapper/index.php"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www.european-agency.org/country-information/greece/national-overview/financing"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vz.lt/verslo-aplinka/2016/01/29/lietuvos-bvp-pernai-paaugo-1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lb.lt/tiesiogines_investicijos_2015_m"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26813-254C-4890-AABD-BAC7ECCE0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16</Pages>
  <Words>12768</Words>
  <Characters>7279</Characters>
  <Application>Microsoft Office Word</Application>
  <DocSecurity>0</DocSecurity>
  <Lines>60</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Bernota</dc:creator>
  <cp:keywords/>
  <dc:description/>
  <cp:lastModifiedBy>Tadas Bernota</cp:lastModifiedBy>
  <cp:revision>6</cp:revision>
  <dcterms:created xsi:type="dcterms:W3CDTF">2016-05-21T09:35:00Z</dcterms:created>
  <dcterms:modified xsi:type="dcterms:W3CDTF">2016-09-15T21:21:00Z</dcterms:modified>
</cp:coreProperties>
</file>